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52ED3B" w14:textId="77777777" w:rsidR="009678FE" w:rsidRDefault="009678FE">
      <w:pPr>
        <w:widowControl/>
        <w:jc w:val="center"/>
      </w:pPr>
      <w:bookmarkStart w:id="0" w:name="_GoBack"/>
      <w:bookmarkEnd w:id="0"/>
    </w:p>
    <w:tbl>
      <w:tblPr>
        <w:tblW w:w="14418" w:type="dxa"/>
        <w:tblInd w:w="-8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3374"/>
        <w:gridCol w:w="2520"/>
        <w:gridCol w:w="4546"/>
      </w:tblGrid>
      <w:tr w:rsidR="00336A4D" w:rsidRPr="00C91AB2" w14:paraId="4F25C29E" w14:textId="77777777" w:rsidTr="00FC2F4E">
        <w:trPr>
          <w:trHeight w:val="378"/>
        </w:trPr>
        <w:tc>
          <w:tcPr>
            <w:tcW w:w="7352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3AE53" w14:textId="0289140A" w:rsidR="00336A4D" w:rsidRPr="00C91AB2" w:rsidRDefault="007744AB" w:rsidP="009E2DCF">
            <w:pPr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  <w:r w:rsidR="00600F8D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F2 Unit </w:t>
            </w:r>
            <w:r w:rsidR="00E10645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  <w:r w:rsidR="009E2DCF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076237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–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6F3895">
              <w:rPr>
                <w:rFonts w:ascii="Times New Roman" w:hAnsi="Times New Roman"/>
                <w:b/>
                <w:bCs/>
                <w:sz w:val="24"/>
                <w:szCs w:val="24"/>
              </w:rPr>
              <w:t>PRESCRIPTION &amp; IMPLEMENTATION GUIDE</w:t>
            </w:r>
            <w:r w:rsidR="00336A4D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66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A238157" w14:textId="7E0C40F6" w:rsidR="00336A4D" w:rsidRPr="002A2290" w:rsidRDefault="00E25D65" w:rsidP="00E10645">
            <w:pPr>
              <w:widowControl/>
              <w:ind w:left="140" w:right="18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>WRITTEN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06E64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and CERTIFIED </w:t>
            </w:r>
            <w:r w:rsidR="00336A4D" w:rsidRPr="002A2290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BY:  </w:t>
            </w:r>
            <w:r w:rsidR="00547668" w:rsidRPr="002A2290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K. Zimlinghaus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 xml:space="preserve">  7/</w:t>
            </w:r>
            <w:r w:rsidR="00E10645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28</w:t>
            </w:r>
            <w:r w:rsidR="00FC3CE3">
              <w:rPr>
                <w:rFonts w:ascii="Lucida Handwriting" w:hAnsi="Lucida Handwriting"/>
                <w:b/>
                <w:bCs/>
                <w:i/>
                <w:sz w:val="22"/>
                <w:szCs w:val="22"/>
              </w:rPr>
              <w:t>/2018</w:t>
            </w:r>
          </w:p>
        </w:tc>
      </w:tr>
      <w:tr w:rsidR="002A2290" w:rsidRPr="00C91AB2" w14:paraId="26126F36" w14:textId="77777777" w:rsidTr="00E612C9">
        <w:trPr>
          <w:trHeight w:val="435"/>
        </w:trPr>
        <w:tc>
          <w:tcPr>
            <w:tcW w:w="3978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4D854" w14:textId="77777777" w:rsidR="002A2290" w:rsidRDefault="002A2290" w:rsidP="006F3895">
            <w:pPr>
              <w:widowControl/>
              <w:ind w:left="90" w:right="-1440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ENVIRONMENTAL ANALYSIS: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A80355" w14:textId="534BED13" w:rsidR="002A2290" w:rsidRPr="00C91AB2" w:rsidRDefault="002A2290" w:rsidP="006F3895">
            <w:pPr>
              <w:pStyle w:val="Heading1"/>
              <w:ind w:left="1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Forsythe II</w:t>
            </w:r>
            <w:r w:rsidRPr="00C91A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Project</w:t>
            </w:r>
          </w:p>
        </w:tc>
        <w:tc>
          <w:tcPr>
            <w:tcW w:w="3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94CF36" w14:textId="5AF89A27" w:rsidR="002A2290" w:rsidRPr="00C91AB2" w:rsidRDefault="002A2290" w:rsidP="00380F7B">
            <w:pPr>
              <w:widowControl/>
              <w:ind w:left="360" w:right="360"/>
              <w:rPr>
                <w:rFonts w:ascii="Times New Roman" w:hAnsi="Times New Roman"/>
                <w:b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DECISION DATE: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Pr="00352235">
              <w:rPr>
                <w:rFonts w:ascii="Times New Roman" w:hAnsi="Times New Roman"/>
                <w:b/>
                <w:bCs/>
                <w:sz w:val="24"/>
                <w:szCs w:val="24"/>
              </w:rPr>
              <w:t>0/20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84AE643" w14:textId="2100652C" w:rsidR="002A2290" w:rsidRPr="00E612C9" w:rsidRDefault="002A2290" w:rsidP="006F3895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NEPA ACRES: </w:t>
            </w:r>
            <w:r w:rsidR="009E2DCF">
              <w:rPr>
                <w:rFonts w:ascii="Times New Roman" w:hAnsi="Times New Roman"/>
                <w:b/>
                <w:bCs/>
                <w:sz w:val="24"/>
                <w:szCs w:val="24"/>
              </w:rPr>
              <w:t>89</w:t>
            </w:r>
          </w:p>
          <w:p w14:paraId="29C3B748" w14:textId="6E4DE438" w:rsidR="00E612C9" w:rsidRDefault="00E612C9" w:rsidP="003239FF">
            <w:pPr>
              <w:widowControl/>
              <w:ind w:left="180" w:right="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12C9">
              <w:rPr>
                <w:rFonts w:ascii="Times New Roman" w:hAnsi="Times New Roman"/>
                <w:b/>
                <w:bCs/>
                <w:sz w:val="24"/>
                <w:szCs w:val="24"/>
              </w:rPr>
              <w:t>GIS ACRES:</w:t>
            </w:r>
            <w:r w:rsidRPr="00E612C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3239FF" w:rsidRPr="003239F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79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DE23DC" w14:textId="4FF57C74" w:rsidR="002A2290" w:rsidRPr="00C91AB2" w:rsidRDefault="00E612C9" w:rsidP="006F3895">
            <w:pPr>
              <w:widowControl/>
              <w:ind w:left="180" w:right="18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BASE FISCAL YEAR: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C91AB2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7457FC" w:rsidRPr="00C91AB2" w14:paraId="47FA3AF1" w14:textId="77777777" w:rsidTr="007457FC">
        <w:trPr>
          <w:cantSplit/>
          <w:trHeight w:val="278"/>
        </w:trPr>
        <w:tc>
          <w:tcPr>
            <w:tcW w:w="7352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0DCDC37" w14:textId="3CF07CD3" w:rsidR="007457FC" w:rsidRPr="00C06C3E" w:rsidRDefault="007457FC" w:rsidP="00E612C9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6C3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EXISTING HSS:</w:t>
            </w:r>
            <w:r w:rsidR="00C06C3E" w:rsidRPr="00C06C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3A-8%, 3B-17%, </w:t>
            </w:r>
            <w:r w:rsidR="00C06C3E" w:rsidRPr="00C06C3E">
              <w:rPr>
                <w:rFonts w:ascii="Times New Roman" w:hAnsi="Times New Roman"/>
                <w:color w:val="auto"/>
                <w:sz w:val="24"/>
                <w:szCs w:val="24"/>
              </w:rPr>
              <w:t>4B</w:t>
            </w:r>
            <w:r w:rsidRPr="00C06C3E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  <w:r w:rsidR="00C06C3E" w:rsidRPr="00C06C3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0B8560AA" w14:textId="099CA36B" w:rsidR="007457FC" w:rsidRPr="003F423D" w:rsidRDefault="007457FC" w:rsidP="000365CA">
            <w:pPr>
              <w:widowControl/>
              <w:ind w:left="152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06C3E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DESIRED HSS:</w:t>
            </w:r>
            <w:r w:rsidRPr="00C06C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94207" w:rsidRPr="00C06C3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</w:t>
            </w:r>
            <w:r w:rsidR="00032E7A">
              <w:rPr>
                <w:rFonts w:ascii="Times New Roman" w:hAnsi="Times New Roman"/>
                <w:color w:val="auto"/>
                <w:sz w:val="24"/>
                <w:szCs w:val="24"/>
              </w:rPr>
              <w:t>1M-</w:t>
            </w:r>
            <w:r w:rsidR="000365CA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  <w:r w:rsidR="00032E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3A-</w:t>
            </w:r>
            <w:r w:rsidR="000365C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%, 3B-</w:t>
            </w:r>
            <w:r w:rsidR="000365C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Pr="00C06C3E">
              <w:rPr>
                <w:rFonts w:ascii="Times New Roman" w:hAnsi="Times New Roman"/>
                <w:color w:val="auto"/>
                <w:sz w:val="24"/>
                <w:szCs w:val="24"/>
              </w:rPr>
              <w:t>4A-</w:t>
            </w:r>
            <w:r w:rsidR="000365CA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  <w:r w:rsidR="00C06C3E" w:rsidRPr="00C06C3E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, 4B-</w:t>
            </w:r>
            <w:r w:rsidR="000365CA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</w:tc>
        <w:tc>
          <w:tcPr>
            <w:tcW w:w="7066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637E8A" w14:textId="698C652D" w:rsidR="00C6778A" w:rsidRPr="003F423D" w:rsidRDefault="00C6778A" w:rsidP="00E94207">
            <w:pPr>
              <w:widowControl/>
              <w:ind w:left="108" w:right="108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E612C9" w:rsidRPr="00C91AB2" w14:paraId="61B7569D" w14:textId="77777777" w:rsidTr="00B1416F">
        <w:trPr>
          <w:trHeight w:val="327"/>
        </w:trPr>
        <w:tc>
          <w:tcPr>
            <w:tcW w:w="987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887D0B" w14:textId="5C0B12FF" w:rsidR="00E612C9" w:rsidRPr="00E10645" w:rsidRDefault="00E612C9" w:rsidP="00E612C9">
            <w:pPr>
              <w:widowControl/>
              <w:ind w:left="152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F423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COVER TYPE:</w:t>
            </w:r>
            <w:r w:rsidRPr="003F423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Pr="00730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Existing Overstory </w:t>
            </w:r>
            <w:r w:rsidR="0073093F">
              <w:rPr>
                <w:rFonts w:ascii="Times New Roman" w:hAnsi="Times New Roman"/>
                <w:color w:val="auto"/>
                <w:sz w:val="24"/>
                <w:szCs w:val="24"/>
              </w:rPr>
              <w:t>PP-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  <w:r w:rsidR="0073093F" w:rsidRPr="00730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 </w:t>
            </w:r>
            <w:r w:rsidRPr="0073093F">
              <w:rPr>
                <w:rFonts w:ascii="Times New Roman" w:hAnsi="Times New Roman"/>
                <w:color w:val="auto"/>
                <w:sz w:val="24"/>
                <w:szCs w:val="24"/>
              </w:rPr>
              <w:t>DF</w:t>
            </w:r>
            <w:r w:rsidR="0073093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Pr="0073093F">
              <w:rPr>
                <w:rFonts w:ascii="Times New Roman" w:hAnsi="Times New Roman"/>
                <w:color w:val="auto"/>
                <w:sz w:val="24"/>
                <w:szCs w:val="24"/>
              </w:rPr>
              <w:t>%, Bare ground</w:t>
            </w:r>
            <w:r w:rsidR="0073093F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9E2DC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73093F" w:rsidRPr="0073093F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  <w:r w:rsidRPr="0073093F">
              <w:rPr>
                <w:rFonts w:ascii="Times New Roman" w:hAnsi="Times New Roman"/>
                <w:color w:val="auto"/>
                <w:sz w:val="24"/>
                <w:szCs w:val="24"/>
              </w:rPr>
              <w:t>%</w:t>
            </w:r>
          </w:p>
          <w:p w14:paraId="38243614" w14:textId="086F259C" w:rsidR="00E612C9" w:rsidRPr="003F423D" w:rsidRDefault="00E612C9" w:rsidP="00F66AC2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E10645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                           </w:t>
            </w:r>
            <w:r w:rsidRPr="0073093F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Desired Overstory </w:t>
            </w:r>
            <w:r w:rsidR="0073093F" w:rsidRPr="00032E7A">
              <w:rPr>
                <w:rFonts w:ascii="Times New Roman" w:hAnsi="Times New Roman"/>
                <w:color w:val="auto"/>
                <w:sz w:val="24"/>
                <w:szCs w:val="24"/>
              </w:rPr>
              <w:t>PP-</w:t>
            </w:r>
            <w:r w:rsidR="00F66AC2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032E7A" w:rsidRPr="00032E7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73093F" w:rsidRPr="00032E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  <w:r w:rsidR="00032E7A" w:rsidRPr="00032E7A">
              <w:rPr>
                <w:rFonts w:ascii="Times New Roman" w:hAnsi="Times New Roman"/>
                <w:color w:val="auto"/>
                <w:sz w:val="24"/>
                <w:szCs w:val="24"/>
              </w:rPr>
              <w:t>DF</w:t>
            </w:r>
            <w:r w:rsidR="00032E7A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="00032E7A" w:rsidRPr="00032E7A">
              <w:rPr>
                <w:rFonts w:ascii="Times New Roman" w:hAnsi="Times New Roman"/>
                <w:color w:val="auto"/>
                <w:sz w:val="24"/>
                <w:szCs w:val="24"/>
              </w:rPr>
              <w:t>20%</w:t>
            </w:r>
            <w:r w:rsidR="00032E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, </w:t>
            </w:r>
            <w:r w:rsidR="0073093F" w:rsidRPr="00032E7A">
              <w:rPr>
                <w:rFonts w:ascii="Times New Roman" w:hAnsi="Times New Roman"/>
                <w:color w:val="auto"/>
                <w:sz w:val="24"/>
                <w:szCs w:val="24"/>
              </w:rPr>
              <w:t>Bare ground–</w:t>
            </w:r>
            <w:r w:rsidR="00F66AC2">
              <w:rPr>
                <w:rFonts w:ascii="Times New Roman" w:hAnsi="Times New Roman"/>
                <w:color w:val="auto"/>
                <w:sz w:val="24"/>
                <w:szCs w:val="24"/>
              </w:rPr>
              <w:t>3</w:t>
            </w:r>
            <w:r w:rsidR="00032E7A" w:rsidRPr="00032E7A">
              <w:rPr>
                <w:rFonts w:ascii="Times New Roman" w:hAnsi="Times New Roman"/>
                <w:color w:val="auto"/>
                <w:sz w:val="24"/>
                <w:szCs w:val="24"/>
              </w:rPr>
              <w:t>0</w:t>
            </w:r>
            <w:r w:rsidR="0073093F" w:rsidRPr="00032E7A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%, </w:t>
            </w:r>
          </w:p>
        </w:tc>
        <w:tc>
          <w:tcPr>
            <w:tcW w:w="45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EAD4F3" w14:textId="12011BCD" w:rsidR="00E612C9" w:rsidRPr="00526963" w:rsidRDefault="00E612C9" w:rsidP="00E612C9">
            <w:pPr>
              <w:widowControl/>
              <w:ind w:left="180" w:right="180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EXISTING BASAL AREA = </w:t>
            </w:r>
            <w:r w:rsidR="009E2D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66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sq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/ac </w:t>
            </w:r>
          </w:p>
          <w:p w14:paraId="603B65A5" w14:textId="0927AA7C" w:rsidR="00E612C9" w:rsidRPr="00585521" w:rsidRDefault="00E612C9" w:rsidP="009E2DCF">
            <w:pPr>
              <w:widowControl/>
              <w:ind w:left="180" w:right="180"/>
              <w:rPr>
                <w:rFonts w:ascii="Times New Roman" w:hAnsi="Times New Roman"/>
                <w:b/>
                <w:sz w:val="24"/>
                <w:szCs w:val="24"/>
              </w:rPr>
            </w:pP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DESIRED BASAL AREA = </w:t>
            </w:r>
            <w:r w:rsidR="009E2D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35</w:t>
            </w:r>
            <w:r w:rsidR="000703D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-</w:t>
            </w:r>
            <w:r w:rsidR="009E2DCF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4</w:t>
            </w:r>
            <w:r w:rsidR="008D26D6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0</w:t>
            </w:r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sq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ft</w:t>
            </w:r>
            <w:proofErr w:type="spellEnd"/>
            <w:r w:rsidRPr="0052696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/ac</w:t>
            </w:r>
          </w:p>
        </w:tc>
      </w:tr>
      <w:tr w:rsidR="00A57342" w:rsidRPr="00C91AB2" w14:paraId="0D1E0DD8" w14:textId="77777777" w:rsidTr="00B1416F">
        <w:trPr>
          <w:trHeight w:val="327"/>
        </w:trPr>
        <w:tc>
          <w:tcPr>
            <w:tcW w:w="14418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B45013" w14:textId="7B70ABE3" w:rsidR="00E612C9" w:rsidRPr="00010BD1" w:rsidRDefault="00E612C9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Existing Condition</w:t>
            </w:r>
          </w:p>
          <w:p w14:paraId="0223FB8F" w14:textId="3CE5446F" w:rsidR="00A57342" w:rsidRPr="00C74A5F" w:rsidRDefault="007D3097" w:rsidP="001B40EE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unit is predominantly located on a </w:t>
            </w:r>
            <w:r w:rsidR="00E10645">
              <w:rPr>
                <w:rFonts w:ascii="Times New Roman" w:hAnsi="Times New Roman"/>
                <w:color w:val="auto"/>
                <w:sz w:val="24"/>
                <w:szCs w:val="24"/>
              </w:rPr>
              <w:t>north</w:t>
            </w:r>
            <w:r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aspect</w:t>
            </w:r>
            <w:r w:rsidR="001B40EE"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with</w:t>
            </w:r>
            <w:r w:rsidR="00946F9C"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forested areas </w:t>
            </w:r>
            <w:r w:rsidR="00251FB0" w:rsidRPr="00251FB0">
              <w:rPr>
                <w:rFonts w:ascii="Times New Roman" w:hAnsi="Times New Roman"/>
                <w:color w:val="auto"/>
                <w:sz w:val="24"/>
                <w:szCs w:val="24"/>
              </w:rPr>
              <w:t>and a</w:t>
            </w:r>
            <w:r w:rsidR="00946F9C"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canopy cover between </w:t>
            </w:r>
            <w:r w:rsidR="00C74A5F"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  <w:r w:rsidR="00946F9C"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to </w:t>
            </w:r>
            <w:r w:rsidR="00C74A5F" w:rsidRPr="00C74A5F">
              <w:rPr>
                <w:rFonts w:ascii="Times New Roman" w:hAnsi="Times New Roman"/>
                <w:color w:val="auto"/>
                <w:sz w:val="24"/>
                <w:szCs w:val="24"/>
              </w:rPr>
              <w:t>80</w:t>
            </w:r>
            <w:r w:rsidR="001B40EE"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946F9C"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percent. 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Ponderosa pine makes up about 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>43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 of the overstory and Douglas-fir, 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>34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%; the understory is comprised of about 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>16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 ponderosa pine, 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% Douglas-fir, 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2% aspen, 8% Rocky Mountain juniper, 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and 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>% bare</w:t>
            </w:r>
            <w:r w:rsidR="00722D5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E36B9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ground. </w:t>
            </w:r>
            <w:r w:rsidR="00722D51">
              <w:rPr>
                <w:rFonts w:ascii="Times New Roman" w:hAnsi="Times New Roman"/>
                <w:color w:val="auto"/>
                <w:sz w:val="24"/>
                <w:szCs w:val="24"/>
              </w:rPr>
              <w:t>Th</w:t>
            </w:r>
            <w:r w:rsidR="002209DF" w:rsidRPr="00251FB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e tree structure arrangement of conifers is 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>diverse from sapling sized trees to conifers &gt; 20” DBH. Approximately 3</w:t>
            </w:r>
            <w:r w:rsidR="00032E7A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  <w:r w:rsidR="0076742E">
              <w:rPr>
                <w:rFonts w:ascii="Times New Roman" w:hAnsi="Times New Roman"/>
                <w:color w:val="auto"/>
                <w:sz w:val="24"/>
                <w:szCs w:val="24"/>
              </w:rPr>
              <w:t>% of the unit area’s overstory is made up of conifers with diameters between 8” and 12” DBH</w:t>
            </w:r>
            <w:r w:rsidR="001F28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. </w:t>
            </w:r>
            <w:r w:rsidR="001866C8">
              <w:rPr>
                <w:rFonts w:ascii="Times New Roman" w:hAnsi="Times New Roman"/>
                <w:color w:val="auto"/>
                <w:sz w:val="24"/>
                <w:szCs w:val="24"/>
              </w:rPr>
              <w:t>Dwarf mistletoe is present in ponderosa pine and has infected understory trees to varying levels.</w:t>
            </w:r>
            <w:r w:rsidR="00A030CC" w:rsidRPr="00171E62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1F28C1" w:rsidRPr="009D3640">
              <w:rPr>
                <w:rFonts w:ascii="Times New Roman" w:hAnsi="Times New Roman"/>
                <w:color w:val="auto"/>
                <w:sz w:val="24"/>
                <w:szCs w:val="24"/>
              </w:rPr>
              <w:t>The spatial arrangement of conifers is varied as is the density across the unit.</w:t>
            </w:r>
            <w:r w:rsidR="001F28C1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Unit density ranges from open, grass understory with light mixed overstory conditions to dense mixed conifer aggregations</w:t>
            </w:r>
            <w:r w:rsidR="00C74A5F">
              <w:rPr>
                <w:rFonts w:ascii="Times New Roman" w:hAnsi="Times New Roman"/>
                <w:color w:val="auto"/>
                <w:sz w:val="24"/>
                <w:szCs w:val="24"/>
              </w:rPr>
              <w:t>, generally on</w:t>
            </w:r>
            <w:r w:rsidR="00C74A5F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  <w:r w:rsidR="00C74A5F">
              <w:rPr>
                <w:rFonts w:ascii="Times New Roman" w:hAnsi="Times New Roman"/>
                <w:color w:val="auto"/>
                <w:sz w:val="24"/>
                <w:szCs w:val="24"/>
              </w:rPr>
              <w:t>north aspects.</w:t>
            </w:r>
          </w:p>
          <w:p w14:paraId="2C7F0C24" w14:textId="77777777" w:rsidR="00E612C9" w:rsidRPr="00E612C9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14:paraId="2101917A" w14:textId="5436CB56" w:rsidR="00E612C9" w:rsidRPr="00010BD1" w:rsidRDefault="00E612C9" w:rsidP="00F06E64">
            <w:pPr>
              <w:widowControl/>
              <w:ind w:left="180" w:right="18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Desired Condition</w:t>
            </w:r>
          </w:p>
          <w:p w14:paraId="20D235C0" w14:textId="09AA8FB5" w:rsidR="00A030CC" w:rsidRPr="00171E62" w:rsidRDefault="00A030CC" w:rsidP="00F06E64">
            <w:pPr>
              <w:widowControl/>
              <w:ind w:left="180" w:right="18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01CB7">
              <w:rPr>
                <w:rFonts w:ascii="Times New Roman" w:hAnsi="Times New Roman"/>
                <w:color w:val="auto"/>
                <w:sz w:val="24"/>
                <w:szCs w:val="24"/>
              </w:rPr>
              <w:t>The desired stand conditions would exhibit characteristics of a</w:t>
            </w:r>
            <w:r w:rsidR="00C74A5F">
              <w:rPr>
                <w:rFonts w:ascii="Times New Roman" w:hAnsi="Times New Roman"/>
                <w:color w:val="auto"/>
                <w:sz w:val="24"/>
                <w:szCs w:val="24"/>
              </w:rPr>
              <w:t>n open</w:t>
            </w:r>
            <w:r w:rsidRPr="00901C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ponderosa pine site </w:t>
            </w:r>
            <w:r w:rsidR="00901CB7" w:rsidRPr="00901C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lightly mixed with Douglas-fir </w:t>
            </w:r>
            <w:r w:rsidRPr="00901C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where stand heterogeneity is diverse and </w:t>
            </w:r>
            <w:r w:rsidR="009722E3" w:rsidRPr="00901CB7">
              <w:rPr>
                <w:rFonts w:ascii="Times New Roman" w:hAnsi="Times New Roman"/>
                <w:color w:val="auto"/>
                <w:sz w:val="24"/>
                <w:szCs w:val="24"/>
              </w:rPr>
              <w:t>sustainable</w:t>
            </w:r>
            <w:r w:rsidRPr="00901C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over time. </w:t>
            </w:r>
            <w:r w:rsidR="00F06E64" w:rsidRPr="00901CB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The majority of the unit will be grass dominated </w:t>
            </w:r>
            <w:r w:rsidR="00C74A5F">
              <w:rPr>
                <w:rFonts w:ascii="Times New Roman" w:hAnsi="Times New Roman"/>
                <w:color w:val="auto"/>
                <w:sz w:val="24"/>
                <w:szCs w:val="24"/>
              </w:rPr>
              <w:t>and fairly open with a mixture of moderately dense mixed conifer aggregations, generally on north aspects.</w:t>
            </w:r>
            <w:r w:rsidR="00A66F36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Ponderosa pine would be the dominant species mixed with light concentrations of mixed conifer including Douglas-fir, aspen, and Rocky Mountain juniper. </w:t>
            </w:r>
            <w:r w:rsidR="00F06E64" w:rsidRPr="00901CB7">
              <w:rPr>
                <w:rFonts w:ascii="Times New Roman" w:hAnsi="Times New Roman"/>
                <w:color w:val="auto"/>
                <w:sz w:val="24"/>
                <w:szCs w:val="24"/>
              </w:rPr>
              <w:t>A combination of individual trees and groups will provide both horizontal and vertical stand structure in a mosaic pattern. Spatially, the tree arrangement would feature a resilient stand structure that is resistant to stand replacing natural disturbances.</w:t>
            </w:r>
            <w:r w:rsidR="00171E6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171E62" w:rsidRPr="00186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Dwarf mistletoe </w:t>
            </w:r>
            <w:r w:rsidR="001866C8" w:rsidRPr="00186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 ponderosa pine </w:t>
            </w:r>
            <w:r w:rsidR="00171E62" w:rsidRPr="00186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would be absent or present in </w:t>
            </w:r>
            <w:r w:rsidR="001866C8" w:rsidRPr="00186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light to </w:t>
            </w:r>
            <w:r w:rsidR="00171E62" w:rsidRPr="001866C8">
              <w:rPr>
                <w:rFonts w:ascii="Times New Roman" w:hAnsi="Times New Roman"/>
                <w:color w:val="auto"/>
                <w:sz w:val="24"/>
                <w:szCs w:val="24"/>
              </w:rPr>
              <w:t>moderat</w:t>
            </w:r>
            <w:r w:rsidR="001866C8" w:rsidRPr="001866C8">
              <w:rPr>
                <w:rFonts w:ascii="Times New Roman" w:hAnsi="Times New Roman"/>
                <w:color w:val="auto"/>
                <w:sz w:val="24"/>
                <w:szCs w:val="24"/>
              </w:rPr>
              <w:t>e levels</w:t>
            </w:r>
            <w:r w:rsidR="00171E62" w:rsidRPr="001866C8">
              <w:rPr>
                <w:rFonts w:ascii="Times New Roman" w:hAnsi="Times New Roman"/>
                <w:color w:val="auto"/>
                <w:sz w:val="24"/>
                <w:szCs w:val="24"/>
              </w:rPr>
              <w:t>.</w:t>
            </w:r>
            <w:r w:rsidR="00F06E64" w:rsidRPr="001866C8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14:paraId="3B64D799" w14:textId="77777777" w:rsidR="00286FDF" w:rsidRDefault="00286FDF" w:rsidP="00F06E64">
            <w:pPr>
              <w:widowControl/>
              <w:ind w:left="180" w:right="180"/>
              <w:rPr>
                <w:rFonts w:ascii="Times New Roman" w:hAnsi="Times New Roman"/>
                <w:sz w:val="24"/>
                <w:szCs w:val="24"/>
              </w:rPr>
            </w:pPr>
          </w:p>
          <w:p w14:paraId="5CBE32E8" w14:textId="77777777" w:rsidR="00C05CD8" w:rsidRPr="00010BD1" w:rsidRDefault="00C05CD8" w:rsidP="00C05CD8">
            <w:pPr>
              <w:ind w:left="242"/>
              <w:contextualSpacing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color w:val="auto"/>
                <w:sz w:val="24"/>
                <w:szCs w:val="24"/>
              </w:rPr>
              <w:t>Objectives</w:t>
            </w:r>
          </w:p>
          <w:p w14:paraId="07B3D337" w14:textId="77777777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Reduce the severity and intensity of a wildfire within the WUI.</w:t>
            </w:r>
          </w:p>
          <w:p w14:paraId="18BA8BCC" w14:textId="55F819C2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/>
                <w:sz w:val="24"/>
                <w:szCs w:val="24"/>
              </w:rPr>
              <w:t>Restore ponderosa pine/mixed conifer stands, structure, and spatial patterns in order to increase resistance and resiliency to future natural disturbance.</w:t>
            </w:r>
          </w:p>
          <w:p w14:paraId="4791C808" w14:textId="77514179" w:rsidR="00C05CD8" w:rsidRPr="00010BD1" w:rsidRDefault="00C05CD8" w:rsidP="00C05CD8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0BD1">
              <w:rPr>
                <w:rFonts w:ascii="Times New Roman" w:hAnsi="Times New Roman" w:cs="Times New Roman"/>
                <w:sz w:val="24"/>
                <w:szCs w:val="24"/>
              </w:rPr>
              <w:t>Old growth tree component: retain ponderosa pine greater than 12” DBH or ponderosa pine greater than 10” DBH with flat top crowns and/or bark that is orange over 50% of the bole of the tree.</w:t>
            </w:r>
            <w:r w:rsidR="00072E15">
              <w:rPr>
                <w:rFonts w:ascii="Times New Roman" w:hAnsi="Times New Roman" w:cs="Times New Roman"/>
                <w:sz w:val="24"/>
                <w:szCs w:val="24"/>
              </w:rPr>
              <w:t xml:space="preserve"> Reduce ladder fuels beneath and around ponderosa pine &gt;12” DBH.</w:t>
            </w:r>
          </w:p>
          <w:p w14:paraId="12BF8079" w14:textId="3836CC30" w:rsidR="00010BD1" w:rsidRPr="00BB2D7F" w:rsidRDefault="00010BD1" w:rsidP="00010BD1">
            <w:pPr>
              <w:pStyle w:val="ListParagraph"/>
              <w:numPr>
                <w:ilvl w:val="0"/>
                <w:numId w:val="31"/>
              </w:numPr>
              <w:contextualSpacing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10BD1">
              <w:rPr>
                <w:rFonts w:ascii="Times New Roman" w:hAnsi="Times New Roman" w:cs="Times New Roman"/>
                <w:sz w:val="24"/>
                <w:szCs w:val="24"/>
              </w:rPr>
              <w:t>Emphasize g</w:t>
            </w:r>
            <w:r w:rsidR="00C05CD8" w:rsidRPr="00010BD1">
              <w:rPr>
                <w:rFonts w:ascii="Times New Roman" w:hAnsi="Times New Roman" w:cs="Times New Roman"/>
                <w:sz w:val="24"/>
                <w:szCs w:val="24"/>
              </w:rPr>
              <w:t>rouped ponderosa pine spacing where conditions allow and individual spacing where conditions aren’t conducive or for other conifer species in order to meet the basal area reduction.</w:t>
            </w:r>
          </w:p>
          <w:p w14:paraId="1C2A89C0" w14:textId="77777777" w:rsidR="00BB2D7F" w:rsidRDefault="00BB2D7F" w:rsidP="00BB2D7F">
            <w:pPr>
              <w:ind w:left="242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037F0CF" w14:textId="3C89E135" w:rsidR="00286FDF" w:rsidRPr="007D3097" w:rsidRDefault="00BB2D7F" w:rsidP="00072E15">
            <w:pPr>
              <w:ind w:left="24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D28E6">
              <w:rPr>
                <w:rFonts w:ascii="Times New Roman" w:hAnsi="Times New Roman"/>
                <w:b/>
                <w:sz w:val="24"/>
                <w:szCs w:val="24"/>
              </w:rPr>
              <w:t>Note: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This unit will be manually cut and the slash will be </w:t>
            </w:r>
            <w:r w:rsidR="00072E15">
              <w:rPr>
                <w:rFonts w:ascii="Times New Roman" w:hAnsi="Times New Roman"/>
                <w:sz w:val="24"/>
                <w:szCs w:val="24"/>
              </w:rPr>
              <w:t>hand piled and burned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14:paraId="51829F8C" w14:textId="77777777" w:rsidR="009678FE" w:rsidRPr="004158F7" w:rsidRDefault="009678FE">
      <w:pPr>
        <w:widowControl/>
        <w:rPr>
          <w:rFonts w:asciiTheme="minorHAnsi" w:hAnsiTheme="minorHAnsi"/>
          <w:sz w:val="24"/>
          <w:szCs w:val="24"/>
        </w:rPr>
      </w:pP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  <w:r w:rsidRPr="004158F7">
        <w:rPr>
          <w:rFonts w:asciiTheme="minorHAnsi" w:hAnsiTheme="minorHAnsi"/>
          <w:sz w:val="24"/>
          <w:szCs w:val="24"/>
        </w:rPr>
        <w:tab/>
      </w:r>
    </w:p>
    <w:tbl>
      <w:tblPr>
        <w:tblW w:w="14410" w:type="dxa"/>
        <w:tblInd w:w="-7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54"/>
        <w:gridCol w:w="1080"/>
        <w:gridCol w:w="766"/>
        <w:gridCol w:w="10710"/>
      </w:tblGrid>
      <w:tr w:rsidR="008E4A2F" w:rsidRPr="00C91AB2" w14:paraId="27CDE48A" w14:textId="77777777" w:rsidTr="004158F7">
        <w:tc>
          <w:tcPr>
            <w:tcW w:w="1854" w:type="dxa"/>
            <w:vAlign w:val="center"/>
          </w:tcPr>
          <w:p w14:paraId="1B2FA7E3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ACTIVITY</w:t>
            </w:r>
          </w:p>
        </w:tc>
        <w:tc>
          <w:tcPr>
            <w:tcW w:w="1080" w:type="dxa"/>
            <w:vAlign w:val="center"/>
          </w:tcPr>
          <w:p w14:paraId="0E4863C5" w14:textId="77777777" w:rsidR="008E4A2F" w:rsidRPr="00C91AB2" w:rsidRDefault="00C91AB2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TIME</w:t>
            </w:r>
            <w:r w:rsidR="008E4A2F"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6" w:type="dxa"/>
            <w:vAlign w:val="center"/>
          </w:tcPr>
          <w:p w14:paraId="0A2827CE" w14:textId="77777777" w:rsidR="008E4A2F" w:rsidRPr="00C91AB2" w:rsidRDefault="008E4A2F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>AC</w:t>
            </w:r>
          </w:p>
        </w:tc>
        <w:tc>
          <w:tcPr>
            <w:tcW w:w="10710" w:type="dxa"/>
            <w:vAlign w:val="center"/>
          </w:tcPr>
          <w:p w14:paraId="418BB5E5" w14:textId="77777777" w:rsidR="008E4A2F" w:rsidRPr="00C91AB2" w:rsidRDefault="008E4A2F" w:rsidP="001E266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AB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DESCRIPTION, MARKING GUIDES, MONITORING, ETC. </w:t>
            </w:r>
          </w:p>
        </w:tc>
      </w:tr>
      <w:tr w:rsidR="002A31AE" w:rsidRPr="00C91AB2" w14:paraId="383131AC" w14:textId="77777777" w:rsidTr="004158F7">
        <w:tc>
          <w:tcPr>
            <w:tcW w:w="1854" w:type="dxa"/>
            <w:vAlign w:val="center"/>
          </w:tcPr>
          <w:p w14:paraId="0ED78408" w14:textId="512ECBE9" w:rsidR="00690587" w:rsidRPr="00C91AB2" w:rsidRDefault="00072E15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Ponderosa pine /</w:t>
            </w:r>
            <w:r w:rsidR="00380F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2053D">
              <w:rPr>
                <w:rFonts w:ascii="Times New Roman" w:hAnsi="Times New Roman"/>
                <w:sz w:val="24"/>
                <w:szCs w:val="24"/>
              </w:rPr>
              <w:t>M</w:t>
            </w:r>
            <w:r w:rsidR="009B7EEE">
              <w:rPr>
                <w:rFonts w:ascii="Times New Roman" w:hAnsi="Times New Roman"/>
                <w:sz w:val="24"/>
                <w:szCs w:val="24"/>
              </w:rPr>
              <w:t xml:space="preserve">ixed Conifer </w:t>
            </w:r>
            <w:r w:rsidR="00EB2B58">
              <w:rPr>
                <w:rFonts w:ascii="Times New Roman" w:hAnsi="Times New Roman"/>
                <w:sz w:val="24"/>
                <w:szCs w:val="24"/>
              </w:rPr>
              <w:t>Thin</w:t>
            </w:r>
            <w:r w:rsidR="008B788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0C54D83" w14:textId="58288EA8" w:rsidR="002A31AE" w:rsidRPr="00C91AB2" w:rsidRDefault="002A31AE" w:rsidP="007576CD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14:paraId="4C3B6A17" w14:textId="4D03F884" w:rsidR="002A31AE" w:rsidRPr="00C91AB2" w:rsidRDefault="0032053D" w:rsidP="00380F7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380F7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6" w:type="dxa"/>
            <w:vAlign w:val="center"/>
          </w:tcPr>
          <w:p w14:paraId="1E61C37B" w14:textId="3F27C67D" w:rsidR="002A31AE" w:rsidRPr="00C91AB2" w:rsidRDefault="003239FF" w:rsidP="00072E15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FF">
              <w:rPr>
                <w:rFonts w:ascii="Times New Roman" w:hAnsi="Times New Roman"/>
                <w:color w:val="auto"/>
                <w:sz w:val="24"/>
                <w:szCs w:val="24"/>
              </w:rPr>
              <w:t>57</w:t>
            </w:r>
          </w:p>
        </w:tc>
        <w:tc>
          <w:tcPr>
            <w:tcW w:w="10710" w:type="dxa"/>
            <w:vAlign w:val="center"/>
          </w:tcPr>
          <w:p w14:paraId="5A8FC3C2" w14:textId="704A05DC" w:rsidR="001C3A25" w:rsidRPr="000D49F5" w:rsidRDefault="001C3A25" w:rsidP="001C3A25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5CEA044C" w14:textId="60E28AC4" w:rsidR="000D49F5" w:rsidRDefault="000D49F5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9E5341">
              <w:rPr>
                <w:rFonts w:ascii="Times New Roman" w:hAnsi="Times New Roman"/>
              </w:rPr>
              <w:t xml:space="preserve">Reduce the existing basal area </w:t>
            </w:r>
            <w:r>
              <w:rPr>
                <w:rFonts w:ascii="Times New Roman" w:hAnsi="Times New Roman"/>
              </w:rPr>
              <w:t xml:space="preserve">by </w:t>
            </w:r>
            <w:r w:rsidR="006F2FDA" w:rsidRPr="00706A73">
              <w:rPr>
                <w:rFonts w:ascii="Times New Roman" w:hAnsi="Times New Roman"/>
              </w:rPr>
              <w:t>40</w:t>
            </w:r>
            <w:r w:rsidRPr="00706A73">
              <w:rPr>
                <w:rFonts w:ascii="Times New Roman" w:hAnsi="Times New Roman"/>
              </w:rPr>
              <w:t>%</w:t>
            </w:r>
            <w:r w:rsidR="00706A73" w:rsidRPr="00706A73">
              <w:rPr>
                <w:rFonts w:ascii="Times New Roman" w:hAnsi="Times New Roman"/>
              </w:rPr>
              <w:t>-50%</w:t>
            </w:r>
            <w:r w:rsidRPr="00706A73">
              <w:rPr>
                <w:rFonts w:ascii="Times New Roman" w:hAnsi="Times New Roman"/>
              </w:rPr>
              <w:t>.</w:t>
            </w:r>
            <w:r w:rsidR="007F474E" w:rsidRPr="00706A73">
              <w:rPr>
                <w:rFonts w:ascii="Times New Roman" w:hAnsi="Times New Roman"/>
              </w:rPr>
              <w:t xml:space="preserve"> </w:t>
            </w:r>
          </w:p>
          <w:p w14:paraId="0846FA8C" w14:textId="44110A50" w:rsidR="007F474E" w:rsidRDefault="007F474E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Retain all conifers &gt; </w:t>
            </w:r>
            <w:r w:rsidRPr="00706A73">
              <w:rPr>
                <w:rFonts w:ascii="Times New Roman" w:hAnsi="Times New Roman"/>
              </w:rPr>
              <w:t>1</w:t>
            </w:r>
            <w:r w:rsidR="00706A73" w:rsidRPr="00706A73">
              <w:rPr>
                <w:rFonts w:ascii="Times New Roman" w:hAnsi="Times New Roman"/>
              </w:rPr>
              <w:t>0</w:t>
            </w:r>
            <w:r w:rsidR="008D26D6" w:rsidRPr="00706A73">
              <w:rPr>
                <w:rFonts w:ascii="Times New Roman" w:hAnsi="Times New Roman"/>
              </w:rPr>
              <w:t>”</w:t>
            </w:r>
            <w:r w:rsidRPr="00706A7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DBH</w:t>
            </w:r>
            <w:r w:rsidR="001866C8">
              <w:rPr>
                <w:rFonts w:ascii="Times New Roman" w:hAnsi="Times New Roman"/>
              </w:rPr>
              <w:t xml:space="preserve"> except for dwarf mistletoe infested trees, see below</w:t>
            </w:r>
            <w:r>
              <w:rPr>
                <w:rFonts w:ascii="Times New Roman" w:hAnsi="Times New Roman"/>
              </w:rPr>
              <w:t xml:space="preserve">. </w:t>
            </w:r>
          </w:p>
          <w:p w14:paraId="28690A22" w14:textId="0891AE87" w:rsidR="005411DA" w:rsidRPr="005411DA" w:rsidRDefault="005411DA" w:rsidP="005411DA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56562D">
              <w:rPr>
                <w:rFonts w:ascii="Times New Roman" w:hAnsi="Times New Roman"/>
              </w:rPr>
              <w:t xml:space="preserve">Species preference to retain: </w:t>
            </w:r>
            <w:r w:rsidR="00706A73">
              <w:rPr>
                <w:rFonts w:ascii="Times New Roman" w:hAnsi="Times New Roman"/>
              </w:rPr>
              <w:t xml:space="preserve">ponderosa pine </w:t>
            </w:r>
            <w:r>
              <w:rPr>
                <w:rFonts w:ascii="Times New Roman" w:hAnsi="Times New Roman"/>
              </w:rPr>
              <w:t>&gt;</w:t>
            </w:r>
            <w:r w:rsidR="00706A73">
              <w:rPr>
                <w:rFonts w:ascii="Times New Roman" w:hAnsi="Times New Roman"/>
              </w:rPr>
              <w:t xml:space="preserve"> Douglas-fir</w:t>
            </w:r>
            <w:r w:rsidR="006372E6">
              <w:rPr>
                <w:rFonts w:ascii="Times New Roman" w:hAnsi="Times New Roman"/>
              </w:rPr>
              <w:t xml:space="preserve"> &gt; Rocky Mountain juniper</w:t>
            </w:r>
            <w:r>
              <w:rPr>
                <w:rFonts w:ascii="Times New Roman" w:hAnsi="Times New Roman"/>
              </w:rPr>
              <w:t xml:space="preserve">. </w:t>
            </w:r>
            <w:r w:rsidRPr="0056562D">
              <w:rPr>
                <w:rFonts w:ascii="Times New Roman" w:hAnsi="Times New Roman"/>
              </w:rPr>
              <w:t xml:space="preserve"> </w:t>
            </w:r>
          </w:p>
          <w:p w14:paraId="7A64F7E6" w14:textId="37969F7B" w:rsidR="007F474E" w:rsidRDefault="005411DA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</w:t>
            </w:r>
            <w:r w:rsidR="007F474E">
              <w:rPr>
                <w:rFonts w:ascii="Times New Roman" w:hAnsi="Times New Roman"/>
              </w:rPr>
              <w:t>etain the healthiest conifer (</w:t>
            </w:r>
            <w:r w:rsidR="00517103">
              <w:rPr>
                <w:rFonts w:ascii="Times New Roman" w:hAnsi="Times New Roman" w:cs="Times New Roman"/>
              </w:rPr>
              <w:t xml:space="preserve">good vigor, at least 40% live crown ratio, </w:t>
            </w:r>
            <w:proofErr w:type="gramStart"/>
            <w:r w:rsidR="00517103">
              <w:rPr>
                <w:rFonts w:ascii="Times New Roman" w:hAnsi="Times New Roman" w:cs="Times New Roman"/>
              </w:rPr>
              <w:t>insect</w:t>
            </w:r>
            <w:proofErr w:type="gramEnd"/>
            <w:r w:rsidR="00517103">
              <w:rPr>
                <w:rFonts w:ascii="Times New Roman" w:hAnsi="Times New Roman" w:cs="Times New Roman"/>
              </w:rPr>
              <w:t>/disease and damage free. regardless of size)</w:t>
            </w:r>
            <w:r w:rsidR="007F474E">
              <w:rPr>
                <w:rFonts w:ascii="Times New Roman" w:hAnsi="Times New Roman"/>
              </w:rPr>
              <w:t xml:space="preserve"> and identified by the species preference.</w:t>
            </w:r>
          </w:p>
          <w:p w14:paraId="53A4A325" w14:textId="1BBF69FE" w:rsidR="00A66F36" w:rsidRPr="00A66F36" w:rsidRDefault="00A66F36" w:rsidP="00A66F3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54694A">
              <w:rPr>
                <w:rFonts w:ascii="Times New Roman" w:hAnsi="Times New Roman"/>
              </w:rPr>
              <w:t>Retain healthy ponderosa pine saplings</w:t>
            </w:r>
            <w:r>
              <w:rPr>
                <w:rFonts w:ascii="Times New Roman" w:hAnsi="Times New Roman"/>
              </w:rPr>
              <w:t xml:space="preserve"> and poles (up to 5” DBH)</w:t>
            </w:r>
            <w:r w:rsidRPr="0054694A">
              <w:rPr>
                <w:rFonts w:ascii="Times New Roman" w:hAnsi="Times New Roman"/>
              </w:rPr>
              <w:t xml:space="preserve"> located under the crowns of conifers (5” - 1</w:t>
            </w:r>
            <w:r w:rsidR="001866C8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” DBH), and cut overstory tree.</w:t>
            </w:r>
            <w:r w:rsidRPr="0054694A">
              <w:rPr>
                <w:rFonts w:ascii="Times New Roman" w:hAnsi="Times New Roman"/>
              </w:rPr>
              <w:t xml:space="preserve"> If seedling/sapling</w:t>
            </w:r>
            <w:r>
              <w:rPr>
                <w:rFonts w:ascii="Times New Roman" w:hAnsi="Times New Roman"/>
              </w:rPr>
              <w:t>/pole</w:t>
            </w:r>
            <w:r w:rsidRPr="0054694A">
              <w:rPr>
                <w:rFonts w:ascii="Times New Roman" w:hAnsi="Times New Roman"/>
              </w:rPr>
              <w:t xml:space="preserve"> is not healthy, cut the smaller tree.</w:t>
            </w:r>
          </w:p>
          <w:p w14:paraId="64E9A46C" w14:textId="36AAF03A" w:rsidR="00A66F36" w:rsidRPr="001866C8" w:rsidRDefault="00995E18" w:rsidP="00A66F3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Cut all dwarf mistletoe infested ponderosa pine &lt; 12” DBH</w:t>
            </w:r>
            <w:r w:rsidR="00BB3D14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Hawksworth</w:t>
            </w:r>
            <w:proofErr w:type="spellEnd"/>
            <w:r>
              <w:rPr>
                <w:rFonts w:ascii="Times New Roman" w:hAnsi="Times New Roman"/>
              </w:rPr>
              <w:t xml:space="preserve"> Rating of 3+ (see description below).</w:t>
            </w:r>
          </w:p>
          <w:p w14:paraId="459BD5FF" w14:textId="2CA3E9AF" w:rsidR="00706A73" w:rsidRDefault="00706A73" w:rsidP="000D49F5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Group and retain ponderosa pine identified as at least </w:t>
            </w:r>
            <w:r w:rsidRPr="009E5341">
              <w:rPr>
                <w:rFonts w:ascii="Times New Roman" w:hAnsi="Times New Roman" w:cs="Times New Roman"/>
              </w:rPr>
              <w:t xml:space="preserve">2 to </w:t>
            </w:r>
            <w:r>
              <w:rPr>
                <w:rFonts w:ascii="Times New Roman" w:hAnsi="Times New Roman" w:cs="Times New Roman"/>
              </w:rPr>
              <w:t>10</w:t>
            </w:r>
            <w:r w:rsidRPr="009E5341">
              <w:rPr>
                <w:rFonts w:ascii="Times New Roman" w:hAnsi="Times New Roman" w:cs="Times New Roman"/>
              </w:rPr>
              <w:t xml:space="preserve"> ponderosa pine trees &gt; 10” DBH with touching or intermingled crowns, or at least 3 to 7 ponderosa pine </w:t>
            </w:r>
            <w:r>
              <w:rPr>
                <w:rFonts w:ascii="Times New Roman" w:hAnsi="Times New Roman" w:cs="Times New Roman"/>
              </w:rPr>
              <w:t xml:space="preserve">trees </w:t>
            </w:r>
            <w:r w:rsidRPr="009E5341">
              <w:rPr>
                <w:rFonts w:ascii="Times New Roman" w:hAnsi="Times New Roman" w:cs="Times New Roman"/>
              </w:rPr>
              <w:t>5”- 8” DBH</w:t>
            </w:r>
            <w:r>
              <w:rPr>
                <w:rFonts w:ascii="Times New Roman" w:hAnsi="Times New Roman" w:cs="Times New Roman"/>
              </w:rPr>
              <w:t xml:space="preserve"> with intermingled crowns. Cut all ladder fuel trees within the dripline of the identified group regardless of species.</w:t>
            </w:r>
          </w:p>
          <w:p w14:paraId="7089E73A" w14:textId="3EA2A792" w:rsidR="00585521" w:rsidRDefault="007F474E" w:rsidP="007F474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 w:rsidRPr="009E5341">
              <w:rPr>
                <w:rFonts w:ascii="Times New Roman" w:hAnsi="Times New Roman" w:cs="Times New Roman"/>
              </w:rPr>
              <w:t>Space the groups of ponderosa pine 1</w:t>
            </w:r>
            <w:r w:rsidR="005469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’-</w:t>
            </w:r>
            <w:r w:rsidRPr="009E5341">
              <w:rPr>
                <w:rFonts w:ascii="Times New Roman" w:hAnsi="Times New Roman" w:cs="Times New Roman"/>
              </w:rPr>
              <w:t>2</w:t>
            </w:r>
            <w:r w:rsidR="0054694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’</w:t>
            </w:r>
            <w:r w:rsidRPr="009E5341">
              <w:rPr>
                <w:rFonts w:ascii="Times New Roman" w:hAnsi="Times New Roman" w:cs="Times New Roman"/>
              </w:rPr>
              <w:t xml:space="preserve"> c</w:t>
            </w:r>
            <w:r>
              <w:rPr>
                <w:rFonts w:ascii="Times New Roman" w:hAnsi="Times New Roman" w:cs="Times New Roman"/>
              </w:rPr>
              <w:t xml:space="preserve">rown </w:t>
            </w:r>
            <w:r w:rsidR="00517103">
              <w:rPr>
                <w:rFonts w:ascii="Times New Roman" w:hAnsi="Times New Roman" w:cs="Times New Roman"/>
              </w:rPr>
              <w:t>dripline</w:t>
            </w:r>
            <w:r>
              <w:rPr>
                <w:rFonts w:ascii="Times New Roman" w:hAnsi="Times New Roman" w:cs="Times New Roman"/>
              </w:rPr>
              <w:t xml:space="preserve"> to </w:t>
            </w:r>
            <w:r w:rsidR="00517103">
              <w:rPr>
                <w:rFonts w:ascii="Times New Roman" w:hAnsi="Times New Roman" w:cs="Times New Roman"/>
              </w:rPr>
              <w:t xml:space="preserve">the adjacent </w:t>
            </w:r>
            <w:r>
              <w:rPr>
                <w:rFonts w:ascii="Times New Roman" w:hAnsi="Times New Roman" w:cs="Times New Roman"/>
              </w:rPr>
              <w:t xml:space="preserve">crown </w:t>
            </w:r>
            <w:r w:rsidR="00E149DD">
              <w:rPr>
                <w:rFonts w:ascii="Times New Roman" w:hAnsi="Times New Roman" w:cs="Times New Roman"/>
              </w:rPr>
              <w:t>dripline</w:t>
            </w:r>
            <w:r w:rsidR="00517103">
              <w:rPr>
                <w:rFonts w:ascii="Times New Roman" w:hAnsi="Times New Roman" w:cs="Times New Roman"/>
              </w:rPr>
              <w:t xml:space="preserve"> of individual or group of trees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0BBCF01" w14:textId="0B13EAD3" w:rsidR="00A66F36" w:rsidRDefault="00A66F36" w:rsidP="007F474E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open areas (existing basal area &lt; 15sq. </w:t>
            </w:r>
            <w:proofErr w:type="spellStart"/>
            <w:r>
              <w:rPr>
                <w:rFonts w:ascii="Times New Roman" w:hAnsi="Times New Roman" w:cs="Times New Roman"/>
              </w:rPr>
              <w:t>ft</w:t>
            </w:r>
            <w:proofErr w:type="spellEnd"/>
            <w:r>
              <w:rPr>
                <w:rFonts w:ascii="Times New Roman" w:hAnsi="Times New Roman" w:cs="Times New Roman"/>
              </w:rPr>
              <w:t>/ac), cut all conifers, regardless of species up to 8”DBH while maintaining Rocky Mountain juniper guides, below.</w:t>
            </w:r>
          </w:p>
          <w:p w14:paraId="4259A643" w14:textId="726D4B9C" w:rsidR="00A66F36" w:rsidRPr="00A66F36" w:rsidRDefault="00A66F36" w:rsidP="00A66F3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 w:rsidRPr="002105A3">
              <w:rPr>
                <w:rFonts w:ascii="Times New Roman" w:hAnsi="Times New Roman"/>
              </w:rPr>
              <w:t xml:space="preserve">Cut ladder fuel conifers within and up to 5’ from the edge of the dripline on </w:t>
            </w:r>
            <w:r>
              <w:rPr>
                <w:rFonts w:ascii="Times New Roman" w:hAnsi="Times New Roman"/>
              </w:rPr>
              <w:t>retained</w:t>
            </w:r>
            <w:r w:rsidRPr="002105A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overstory </w:t>
            </w:r>
            <w:r w:rsidRPr="002105A3">
              <w:rPr>
                <w:rFonts w:ascii="Times New Roman" w:hAnsi="Times New Roman"/>
              </w:rPr>
              <w:t>tree</w:t>
            </w:r>
            <w:r>
              <w:rPr>
                <w:rFonts w:ascii="Times New Roman" w:hAnsi="Times New Roman"/>
              </w:rPr>
              <w:t>s</w:t>
            </w:r>
            <w:r w:rsidRPr="002105A3">
              <w:rPr>
                <w:rFonts w:ascii="Times New Roman" w:hAnsi="Times New Roman"/>
              </w:rPr>
              <w:t>.</w:t>
            </w:r>
          </w:p>
          <w:p w14:paraId="57E12F88" w14:textId="38D45F77" w:rsidR="006372E6" w:rsidRPr="006372E6" w:rsidRDefault="006372E6" w:rsidP="006372E6">
            <w:pPr>
              <w:pStyle w:val="ListParagraph"/>
              <w:numPr>
                <w:ilvl w:val="0"/>
                <w:numId w:val="1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Where Rocky Mountain juniper occurs, leave an average of one large individual, or clump of three or more per acre if available. Cut all juniper that </w:t>
            </w:r>
            <w:r w:rsidR="00AB56DE">
              <w:rPr>
                <w:rFonts w:ascii="Times New Roman" w:hAnsi="Times New Roman"/>
              </w:rPr>
              <w:t>are within 25’ of the crown of retained trees.</w:t>
            </w:r>
          </w:p>
          <w:p w14:paraId="0344A9CF" w14:textId="00DA267D" w:rsidR="00414F33" w:rsidRDefault="00414F33" w:rsidP="00706A73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674" w:hanging="5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not cut aspen. In aspen clones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(identified as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number of </w:t>
            </w:r>
            <w:r w:rsidRPr="0056562D">
              <w:rPr>
                <w:rFonts w:ascii="Times New Roman" w:hAnsi="Times New Roman"/>
              </w:rPr>
              <w:t xml:space="preserve">aspen trees with diameters &gt; </w:t>
            </w:r>
            <w:r w:rsidR="004A7F99">
              <w:rPr>
                <w:rFonts w:ascii="Times New Roman" w:hAnsi="Times New Roman"/>
              </w:rPr>
              <w:t>1</w:t>
            </w:r>
            <w:r w:rsidRPr="0056562D">
              <w:rPr>
                <w:rFonts w:ascii="Times New Roman" w:hAnsi="Times New Roman"/>
              </w:rPr>
              <w:t xml:space="preserve">” DBH </w:t>
            </w:r>
            <w:r>
              <w:rPr>
                <w:rFonts w:ascii="Times New Roman" w:hAnsi="Times New Roman"/>
              </w:rPr>
              <w:t xml:space="preserve">that </w:t>
            </w:r>
            <w:r w:rsidRPr="0056562D">
              <w:rPr>
                <w:rFonts w:ascii="Times New Roman" w:hAnsi="Times New Roman"/>
              </w:rPr>
              <w:t>are greater than the number of conifers within the clone perimeter</w:t>
            </w:r>
            <w:r>
              <w:rPr>
                <w:rFonts w:ascii="Times New Roman" w:hAnsi="Times New Roman"/>
              </w:rPr>
              <w:t>)</w:t>
            </w:r>
            <w:r w:rsidRPr="0056562D">
              <w:rPr>
                <w:rFonts w:ascii="Times New Roman" w:hAnsi="Times New Roman"/>
              </w:rPr>
              <w:t xml:space="preserve"> cut all </w:t>
            </w:r>
            <w:r>
              <w:rPr>
                <w:rFonts w:ascii="Times New Roman" w:hAnsi="Times New Roman" w:cs="Times New Roman"/>
              </w:rPr>
              <w:t>ponderosa pine and Douglas-fir &lt; 12” DBH or lodgepole pine &lt; 12” DBH</w:t>
            </w:r>
            <w:r w:rsidRPr="009E53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Extend out 30 feet from </w:t>
            </w:r>
            <w:r w:rsidRPr="0056562D">
              <w:rPr>
                <w:rFonts w:ascii="Times New Roman" w:hAnsi="Times New Roman"/>
              </w:rPr>
              <w:t xml:space="preserve">the edge of </w:t>
            </w:r>
            <w:r>
              <w:rPr>
                <w:rFonts w:ascii="Times New Roman" w:hAnsi="Times New Roman"/>
              </w:rPr>
              <w:t>an</w:t>
            </w:r>
            <w:r w:rsidRPr="0056562D">
              <w:rPr>
                <w:rFonts w:ascii="Times New Roman" w:hAnsi="Times New Roman"/>
              </w:rPr>
              <w:t xml:space="preserve"> aspen clone perimeter (diameter &gt;</w:t>
            </w:r>
            <w:r w:rsidR="004A7F99">
              <w:rPr>
                <w:rFonts w:ascii="Times New Roman" w:hAnsi="Times New Roman"/>
              </w:rPr>
              <w:t>1</w:t>
            </w:r>
            <w:r w:rsidRPr="0056562D">
              <w:rPr>
                <w:rFonts w:ascii="Times New Roman" w:hAnsi="Times New Roman"/>
              </w:rPr>
              <w:t>” DBH)</w:t>
            </w:r>
            <w:r>
              <w:rPr>
                <w:rFonts w:ascii="Times New Roman" w:hAnsi="Times New Roman"/>
              </w:rPr>
              <w:t xml:space="preserve"> and </w:t>
            </w:r>
            <w:r w:rsidRPr="0056562D">
              <w:rPr>
                <w:rFonts w:ascii="Times New Roman" w:hAnsi="Times New Roman"/>
              </w:rPr>
              <w:t xml:space="preserve">cut all conifers </w:t>
            </w:r>
            <w:r>
              <w:rPr>
                <w:rFonts w:ascii="Times New Roman" w:hAnsi="Times New Roman"/>
              </w:rPr>
              <w:t>&lt; 12”DBH.</w:t>
            </w:r>
          </w:p>
          <w:p w14:paraId="4A10F381" w14:textId="73C5DA6B" w:rsidR="002E5BD1" w:rsidRPr="000E6B12" w:rsidRDefault="00517103" w:rsidP="00706A73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674" w:hanging="540"/>
              <w:contextualSpacing/>
              <w:rPr>
                <w:rFonts w:ascii="Times New Roman" w:hAnsi="Times New Roman"/>
              </w:rPr>
            </w:pPr>
            <w:r w:rsidRPr="000E6B12">
              <w:rPr>
                <w:rFonts w:ascii="Times New Roman" w:hAnsi="Times New Roman"/>
              </w:rPr>
              <w:t>Retain</w:t>
            </w:r>
            <w:r w:rsidR="002E5BD1" w:rsidRPr="000E6B12">
              <w:rPr>
                <w:rFonts w:ascii="Times New Roman" w:hAnsi="Times New Roman"/>
              </w:rPr>
              <w:t xml:space="preserve"> </w:t>
            </w:r>
            <w:r w:rsidR="00E149DD" w:rsidRPr="000E6B12">
              <w:rPr>
                <w:rFonts w:ascii="Times New Roman" w:hAnsi="Times New Roman"/>
              </w:rPr>
              <w:t xml:space="preserve">5 </w:t>
            </w:r>
            <w:r w:rsidR="00C53686" w:rsidRPr="000E6B12">
              <w:rPr>
                <w:rFonts w:ascii="Times New Roman" w:hAnsi="Times New Roman"/>
              </w:rPr>
              <w:t xml:space="preserve">of the largest </w:t>
            </w:r>
            <w:r w:rsidR="002E5BD1" w:rsidRPr="000E6B12">
              <w:rPr>
                <w:rFonts w:ascii="Times New Roman" w:hAnsi="Times New Roman"/>
              </w:rPr>
              <w:t>snags</w:t>
            </w:r>
            <w:r w:rsidR="006538F0" w:rsidRPr="000E6B12">
              <w:rPr>
                <w:rFonts w:ascii="Times New Roman" w:hAnsi="Times New Roman"/>
              </w:rPr>
              <w:t xml:space="preserve"> (dead trees)</w:t>
            </w:r>
            <w:r w:rsidR="00E149DD" w:rsidRPr="000E6B12">
              <w:rPr>
                <w:rFonts w:ascii="Times New Roman" w:hAnsi="Times New Roman"/>
              </w:rPr>
              <w:t xml:space="preserve"> per acre (minimum 8” DBH for lodgepole pine and 10” DBH for both ponderosa pine and Douglas-fir)</w:t>
            </w:r>
            <w:r w:rsidR="00C53686" w:rsidRPr="000E6B12">
              <w:rPr>
                <w:rFonts w:ascii="Times New Roman" w:hAnsi="Times New Roman"/>
              </w:rPr>
              <w:t>. If the minimum number of snags is not available, then the largest available live, green replacement trees will be retained for future snags.</w:t>
            </w:r>
            <w:r w:rsidR="00E149DD" w:rsidRPr="000E6B12">
              <w:rPr>
                <w:rFonts w:ascii="Times New Roman" w:hAnsi="Times New Roman"/>
              </w:rPr>
              <w:t xml:space="preserve"> </w:t>
            </w:r>
          </w:p>
          <w:p w14:paraId="238B75C1" w14:textId="163DF2E7" w:rsidR="00E149DD" w:rsidRPr="00E06FD4" w:rsidRDefault="00E149DD" w:rsidP="00706A73">
            <w:pPr>
              <w:pStyle w:val="ListParagraph"/>
              <w:numPr>
                <w:ilvl w:val="0"/>
                <w:numId w:val="30"/>
              </w:numPr>
              <w:tabs>
                <w:tab w:val="left" w:pos="674"/>
              </w:tabs>
              <w:ind w:left="674" w:hanging="540"/>
              <w:contextualSpacing/>
              <w:rPr>
                <w:rFonts w:ascii="Times New Roman" w:hAnsi="Times New Roman"/>
              </w:rPr>
            </w:pPr>
            <w:r w:rsidRPr="00706A73">
              <w:rPr>
                <w:rFonts w:ascii="Times New Roman" w:hAnsi="Times New Roman"/>
              </w:rPr>
              <w:t xml:space="preserve">Retain wildlife trees (trees with cavities, large squirrel </w:t>
            </w:r>
            <w:proofErr w:type="spellStart"/>
            <w:r w:rsidRPr="00706A73">
              <w:rPr>
                <w:rFonts w:ascii="Times New Roman" w:hAnsi="Times New Roman"/>
              </w:rPr>
              <w:t>middens</w:t>
            </w:r>
            <w:proofErr w:type="spellEnd"/>
            <w:r w:rsidRPr="00706A73">
              <w:rPr>
                <w:rFonts w:ascii="Times New Roman" w:hAnsi="Times New Roman"/>
              </w:rPr>
              <w:t xml:space="preserve">, or </w:t>
            </w:r>
            <w:proofErr w:type="spellStart"/>
            <w:r w:rsidRPr="00706A73">
              <w:rPr>
                <w:rFonts w:ascii="Times New Roman" w:hAnsi="Times New Roman"/>
              </w:rPr>
              <w:t>Abert’s</w:t>
            </w:r>
            <w:proofErr w:type="spellEnd"/>
            <w:r w:rsidRPr="00706A73">
              <w:rPr>
                <w:rFonts w:ascii="Times New Roman" w:hAnsi="Times New Roman"/>
              </w:rPr>
              <w:t xml:space="preserve"> squirrel nest trees.</w:t>
            </w:r>
          </w:p>
        </w:tc>
      </w:tr>
      <w:tr w:rsidR="00AB56DE" w:rsidRPr="00C91AB2" w14:paraId="0BBF1EBD" w14:textId="77777777" w:rsidTr="004158F7">
        <w:tc>
          <w:tcPr>
            <w:tcW w:w="1854" w:type="dxa"/>
            <w:vAlign w:val="center"/>
          </w:tcPr>
          <w:p w14:paraId="21F698FB" w14:textId="68520632" w:rsidR="00AB56DE" w:rsidRDefault="00901F68" w:rsidP="00690587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Dense</w:t>
            </w:r>
            <w:r w:rsidR="00AB56DE">
              <w:rPr>
                <w:rFonts w:ascii="Times New Roman" w:hAnsi="Times New Roman"/>
                <w:sz w:val="24"/>
                <w:szCs w:val="24"/>
              </w:rPr>
              <w:t xml:space="preserve"> Aggregation</w:t>
            </w:r>
            <w:r w:rsidR="00B9487A">
              <w:rPr>
                <w:rFonts w:ascii="Times New Roman" w:hAnsi="Times New Roman"/>
                <w:sz w:val="24"/>
                <w:szCs w:val="24"/>
              </w:rPr>
              <w:t>s (generally north aspect)</w:t>
            </w:r>
          </w:p>
        </w:tc>
        <w:tc>
          <w:tcPr>
            <w:tcW w:w="1080" w:type="dxa"/>
            <w:vAlign w:val="center"/>
          </w:tcPr>
          <w:p w14:paraId="0C57946D" w14:textId="45569DC6" w:rsidR="00AB56DE" w:rsidRDefault="00AB56DE" w:rsidP="00380F7B">
            <w:pPr>
              <w:widowControl/>
              <w:ind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66" w:type="dxa"/>
            <w:vAlign w:val="center"/>
          </w:tcPr>
          <w:p w14:paraId="16E5D8C4" w14:textId="512A7609" w:rsidR="00AB56DE" w:rsidRDefault="00B9487A" w:rsidP="003239FF">
            <w:pPr>
              <w:widowControl/>
              <w:ind w:left="180" w:right="18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239F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  <w:r w:rsidR="003239FF" w:rsidRPr="003239FF">
              <w:rPr>
                <w:rFonts w:ascii="Times New Roman" w:hAnsi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0710" w:type="dxa"/>
            <w:vAlign w:val="center"/>
          </w:tcPr>
          <w:p w14:paraId="4E679732" w14:textId="77777777" w:rsidR="00AB56DE" w:rsidRPr="000D49F5" w:rsidRDefault="00AB56DE" w:rsidP="00AB56DE">
            <w:pPr>
              <w:contextualSpacing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D49F5">
              <w:rPr>
                <w:rFonts w:ascii="Times New Roman" w:hAnsi="Times New Roman"/>
                <w:sz w:val="22"/>
                <w:szCs w:val="22"/>
                <w:u w:val="single"/>
              </w:rPr>
              <w:t>Cutting Guides</w:t>
            </w:r>
          </w:p>
          <w:p w14:paraId="416B17A2" w14:textId="05DD33D7" w:rsidR="00901F68" w:rsidRPr="00901F68" w:rsidRDefault="00901F68" w:rsidP="00BB3D1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Reduce existing basal area by 25%-30%.</w:t>
            </w:r>
          </w:p>
          <w:p w14:paraId="69BE5100" w14:textId="77777777" w:rsidR="00B9487A" w:rsidRPr="005411DA" w:rsidRDefault="00B9487A" w:rsidP="00BB3D1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 w:rsidRPr="0056562D">
              <w:rPr>
                <w:rFonts w:ascii="Times New Roman" w:hAnsi="Times New Roman"/>
              </w:rPr>
              <w:t xml:space="preserve">Species preference to retain: </w:t>
            </w:r>
            <w:r>
              <w:rPr>
                <w:rFonts w:ascii="Times New Roman" w:hAnsi="Times New Roman"/>
              </w:rPr>
              <w:t xml:space="preserve">ponderosa pine &gt; Douglas-fir &gt; Rocky Mountain juniper. </w:t>
            </w:r>
            <w:r w:rsidRPr="0056562D">
              <w:rPr>
                <w:rFonts w:ascii="Times New Roman" w:hAnsi="Times New Roman"/>
              </w:rPr>
              <w:t xml:space="preserve"> </w:t>
            </w:r>
          </w:p>
          <w:p w14:paraId="0C51E124" w14:textId="5362EEFB" w:rsidR="00B9487A" w:rsidRDefault="00B9487A" w:rsidP="00BB3D1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Retain the healthiest conifer (</w:t>
            </w:r>
            <w:r>
              <w:rPr>
                <w:rFonts w:ascii="Times New Roman" w:hAnsi="Times New Roman" w:cs="Times New Roman"/>
              </w:rPr>
              <w:t xml:space="preserve">good vigor, at least 40% live crown ratio, </w:t>
            </w:r>
            <w:proofErr w:type="gramStart"/>
            <w:r>
              <w:rPr>
                <w:rFonts w:ascii="Times New Roman" w:hAnsi="Times New Roman" w:cs="Times New Roman"/>
              </w:rPr>
              <w:t>insect</w:t>
            </w:r>
            <w:proofErr w:type="gramEnd"/>
            <w:r>
              <w:rPr>
                <w:rFonts w:ascii="Times New Roman" w:hAnsi="Times New Roman" w:cs="Times New Roman"/>
              </w:rPr>
              <w:t>/disease and damage free. regardless of size)</w:t>
            </w:r>
            <w:r>
              <w:rPr>
                <w:rFonts w:ascii="Times New Roman" w:hAnsi="Times New Roman"/>
              </w:rPr>
              <w:t xml:space="preserve"> and identified by the species preference.</w:t>
            </w:r>
          </w:p>
          <w:p w14:paraId="29E59CB6" w14:textId="77777777" w:rsidR="00BB3D14" w:rsidRPr="001866C8" w:rsidRDefault="00BB3D14" w:rsidP="00BB3D1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Cut all dwarf mistletoe infested ponderosa pine &lt; 12” DBH, </w:t>
            </w:r>
            <w:proofErr w:type="spellStart"/>
            <w:r>
              <w:rPr>
                <w:rFonts w:ascii="Times New Roman" w:hAnsi="Times New Roman"/>
              </w:rPr>
              <w:t>Hawksworth</w:t>
            </w:r>
            <w:proofErr w:type="spellEnd"/>
            <w:r>
              <w:rPr>
                <w:rFonts w:ascii="Times New Roman" w:hAnsi="Times New Roman"/>
              </w:rPr>
              <w:t xml:space="preserve"> Rating of 3+ (see description below).</w:t>
            </w:r>
          </w:p>
          <w:p w14:paraId="1576F8A4" w14:textId="59FFFF36" w:rsidR="00B9487A" w:rsidRPr="00B9487A" w:rsidRDefault="00B9487A" w:rsidP="00BB3D1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Thin from below, cut all conifers &lt; 6” DBH.</w:t>
            </w:r>
          </w:p>
          <w:p w14:paraId="16B0EF2E" w14:textId="77777777" w:rsidR="00B9487A" w:rsidRPr="00B9487A" w:rsidRDefault="00901F68" w:rsidP="00BB3D1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Thin overstory</w:t>
            </w:r>
            <w:r w:rsidR="00B9487A">
              <w:rPr>
                <w:rFonts w:ascii="Times New Roman" w:hAnsi="Times New Roman"/>
              </w:rPr>
              <w:t xml:space="preserve"> to a 3’-10’ crown spacing.</w:t>
            </w:r>
          </w:p>
          <w:p w14:paraId="3E51B0B1" w14:textId="77777777" w:rsidR="004A7F99" w:rsidRDefault="00B9487A" w:rsidP="00BB3D14">
            <w:pPr>
              <w:pStyle w:val="ListParagraph"/>
              <w:numPr>
                <w:ilvl w:val="0"/>
                <w:numId w:val="32"/>
              </w:numPr>
              <w:tabs>
                <w:tab w:val="left" w:pos="674"/>
              </w:tabs>
              <w:contextualSpacing/>
              <w:rPr>
                <w:rFonts w:ascii="Times New Roman" w:hAnsi="Times New Roman"/>
              </w:rPr>
            </w:pPr>
            <w:r w:rsidRPr="000E6B12">
              <w:rPr>
                <w:rFonts w:ascii="Times New Roman" w:hAnsi="Times New Roman"/>
              </w:rPr>
              <w:t>Retain 5 of the largest snags (dead trees) per acre (minimum 8” DBH for lodgepole pine and 10” DBH for both ponderosa pine and Douglas-fir). If the minimum number of snags is not available, then the largest available live, green replacement trees will be retained for future snags.</w:t>
            </w:r>
          </w:p>
          <w:p w14:paraId="36ECBE90" w14:textId="03095AEE" w:rsidR="00B9487A" w:rsidRPr="000E6B12" w:rsidRDefault="004A7F99" w:rsidP="00BB3D14">
            <w:pPr>
              <w:pStyle w:val="ListParagraph"/>
              <w:numPr>
                <w:ilvl w:val="0"/>
                <w:numId w:val="32"/>
              </w:numPr>
              <w:tabs>
                <w:tab w:val="left" w:pos="674"/>
              </w:tabs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Do not cut aspen. In aspen clones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(identified as</w:t>
            </w:r>
            <w:r w:rsidRPr="005656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the number of </w:t>
            </w:r>
            <w:r w:rsidRPr="0056562D">
              <w:rPr>
                <w:rFonts w:ascii="Times New Roman" w:hAnsi="Times New Roman"/>
              </w:rPr>
              <w:t xml:space="preserve">aspen trees with diameters &gt; </w:t>
            </w:r>
            <w:r>
              <w:rPr>
                <w:rFonts w:ascii="Times New Roman" w:hAnsi="Times New Roman"/>
              </w:rPr>
              <w:t>1</w:t>
            </w:r>
            <w:r w:rsidRPr="0056562D">
              <w:rPr>
                <w:rFonts w:ascii="Times New Roman" w:hAnsi="Times New Roman"/>
              </w:rPr>
              <w:t xml:space="preserve">” DBH </w:t>
            </w:r>
            <w:r>
              <w:rPr>
                <w:rFonts w:ascii="Times New Roman" w:hAnsi="Times New Roman"/>
              </w:rPr>
              <w:t xml:space="preserve">that </w:t>
            </w:r>
            <w:r w:rsidRPr="0056562D">
              <w:rPr>
                <w:rFonts w:ascii="Times New Roman" w:hAnsi="Times New Roman"/>
              </w:rPr>
              <w:t>are greater than the number of conifers within the clone perimeter</w:t>
            </w:r>
            <w:r>
              <w:rPr>
                <w:rFonts w:ascii="Times New Roman" w:hAnsi="Times New Roman"/>
              </w:rPr>
              <w:t>)</w:t>
            </w:r>
            <w:r w:rsidRPr="0056562D">
              <w:rPr>
                <w:rFonts w:ascii="Times New Roman" w:hAnsi="Times New Roman"/>
              </w:rPr>
              <w:t xml:space="preserve"> cut all </w:t>
            </w:r>
            <w:r>
              <w:rPr>
                <w:rFonts w:ascii="Times New Roman" w:hAnsi="Times New Roman" w:cs="Times New Roman"/>
              </w:rPr>
              <w:t xml:space="preserve">ponderosa pine and Douglas-fir &lt; 12” </w:t>
            </w:r>
            <w:r>
              <w:rPr>
                <w:rFonts w:ascii="Times New Roman" w:hAnsi="Times New Roman" w:cs="Times New Roman"/>
              </w:rPr>
              <w:lastRenderedPageBreak/>
              <w:t>DBH or lodgepole pine &lt; 12” DBH</w:t>
            </w:r>
            <w:r w:rsidRPr="009E534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Extend out 30 feet from </w:t>
            </w:r>
            <w:r w:rsidRPr="0056562D">
              <w:rPr>
                <w:rFonts w:ascii="Times New Roman" w:hAnsi="Times New Roman"/>
              </w:rPr>
              <w:t xml:space="preserve">the edge of </w:t>
            </w:r>
            <w:r>
              <w:rPr>
                <w:rFonts w:ascii="Times New Roman" w:hAnsi="Times New Roman"/>
              </w:rPr>
              <w:t>an</w:t>
            </w:r>
            <w:r w:rsidRPr="0056562D">
              <w:rPr>
                <w:rFonts w:ascii="Times New Roman" w:hAnsi="Times New Roman"/>
              </w:rPr>
              <w:t xml:space="preserve"> aspen clone perimeter (diameter &gt;</w:t>
            </w:r>
            <w:r>
              <w:rPr>
                <w:rFonts w:ascii="Times New Roman" w:hAnsi="Times New Roman"/>
              </w:rPr>
              <w:t>1</w:t>
            </w:r>
            <w:r w:rsidRPr="0056562D">
              <w:rPr>
                <w:rFonts w:ascii="Times New Roman" w:hAnsi="Times New Roman"/>
              </w:rPr>
              <w:t>” DBH)</w:t>
            </w:r>
            <w:r>
              <w:rPr>
                <w:rFonts w:ascii="Times New Roman" w:hAnsi="Times New Roman"/>
              </w:rPr>
              <w:t xml:space="preserve"> and </w:t>
            </w:r>
            <w:r w:rsidRPr="0056562D">
              <w:rPr>
                <w:rFonts w:ascii="Times New Roman" w:hAnsi="Times New Roman"/>
              </w:rPr>
              <w:t xml:space="preserve">cut all conifers </w:t>
            </w:r>
            <w:r>
              <w:rPr>
                <w:rFonts w:ascii="Times New Roman" w:hAnsi="Times New Roman"/>
              </w:rPr>
              <w:t>&lt; 12”DBH.</w:t>
            </w:r>
            <w:r w:rsidR="00B9487A" w:rsidRPr="000E6B12">
              <w:rPr>
                <w:rFonts w:ascii="Times New Roman" w:hAnsi="Times New Roman"/>
              </w:rPr>
              <w:t xml:space="preserve"> </w:t>
            </w:r>
          </w:p>
          <w:p w14:paraId="0AB98F67" w14:textId="3357676A" w:rsidR="00901F68" w:rsidRPr="00AB56DE" w:rsidRDefault="00B9487A" w:rsidP="00BB3D14">
            <w:pPr>
              <w:pStyle w:val="ListParagraph"/>
              <w:numPr>
                <w:ilvl w:val="0"/>
                <w:numId w:val="32"/>
              </w:numPr>
              <w:contextualSpacing/>
              <w:rPr>
                <w:rFonts w:ascii="Times New Roman" w:hAnsi="Times New Roman"/>
                <w:u w:val="single"/>
              </w:rPr>
            </w:pPr>
            <w:r w:rsidRPr="00706A73">
              <w:rPr>
                <w:rFonts w:ascii="Times New Roman" w:hAnsi="Times New Roman"/>
              </w:rPr>
              <w:t xml:space="preserve">Retain wildlife trees (trees with cavities, large squirrel </w:t>
            </w:r>
            <w:proofErr w:type="spellStart"/>
            <w:r w:rsidRPr="00706A73">
              <w:rPr>
                <w:rFonts w:ascii="Times New Roman" w:hAnsi="Times New Roman"/>
              </w:rPr>
              <w:t>middens</w:t>
            </w:r>
            <w:proofErr w:type="spellEnd"/>
            <w:r w:rsidRPr="00706A73">
              <w:rPr>
                <w:rFonts w:ascii="Times New Roman" w:hAnsi="Times New Roman"/>
              </w:rPr>
              <w:t xml:space="preserve">, or </w:t>
            </w:r>
            <w:proofErr w:type="spellStart"/>
            <w:r w:rsidRPr="00706A73">
              <w:rPr>
                <w:rFonts w:ascii="Times New Roman" w:hAnsi="Times New Roman"/>
              </w:rPr>
              <w:t>Abert’s</w:t>
            </w:r>
            <w:proofErr w:type="spellEnd"/>
            <w:r w:rsidRPr="00706A73">
              <w:rPr>
                <w:rFonts w:ascii="Times New Roman" w:hAnsi="Times New Roman"/>
              </w:rPr>
              <w:t xml:space="preserve"> squirrel nest trees.</w:t>
            </w:r>
            <w:r w:rsidR="00901F68">
              <w:rPr>
                <w:rFonts w:ascii="Times New Roman" w:hAnsi="Times New Roman"/>
              </w:rPr>
              <w:t xml:space="preserve"> </w:t>
            </w:r>
          </w:p>
        </w:tc>
      </w:tr>
      <w:tr w:rsidR="001506FA" w:rsidRPr="00C91AB2" w14:paraId="030200F6" w14:textId="77777777" w:rsidTr="004158F7">
        <w:tc>
          <w:tcPr>
            <w:tcW w:w="1854" w:type="dxa"/>
            <w:vAlign w:val="center"/>
          </w:tcPr>
          <w:p w14:paraId="176A9151" w14:textId="3C36E6DD" w:rsidR="001506FA" w:rsidRPr="00C91AB2" w:rsidRDefault="001506FA" w:rsidP="00706A73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Slash Treatment </w:t>
            </w:r>
          </w:p>
        </w:tc>
        <w:tc>
          <w:tcPr>
            <w:tcW w:w="1080" w:type="dxa"/>
            <w:vAlign w:val="center"/>
          </w:tcPr>
          <w:p w14:paraId="6E559369" w14:textId="77EEA610" w:rsidR="001506FA" w:rsidRDefault="00706A73" w:rsidP="004B2246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766" w:type="dxa"/>
            <w:vAlign w:val="center"/>
          </w:tcPr>
          <w:p w14:paraId="64050BD1" w14:textId="4132BC8E" w:rsidR="001506FA" w:rsidRDefault="003239FF" w:rsidP="009C2D09">
            <w:pPr>
              <w:widowControl/>
              <w:ind w:left="180" w:right="18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9FF">
              <w:rPr>
                <w:rFonts w:ascii="Times New Roman" w:hAnsi="Times New Roman"/>
                <w:color w:val="auto"/>
                <w:sz w:val="24"/>
                <w:szCs w:val="24"/>
              </w:rPr>
              <w:t>79</w:t>
            </w:r>
          </w:p>
        </w:tc>
        <w:tc>
          <w:tcPr>
            <w:tcW w:w="10710" w:type="dxa"/>
          </w:tcPr>
          <w:p w14:paraId="6029D271" w14:textId="77777777" w:rsidR="001506FA" w:rsidRPr="009D3BAC" w:rsidRDefault="001506FA" w:rsidP="00AB56DE">
            <w:pPr>
              <w:pStyle w:val="ListParagraph"/>
              <w:numPr>
                <w:ilvl w:val="0"/>
                <w:numId w:val="8"/>
              </w:numPr>
              <w:ind w:left="674" w:right="180" w:hanging="54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Hand- pile </w:t>
            </w:r>
            <w:r>
              <w:rPr>
                <w:rFonts w:ascii="Times New Roman" w:hAnsi="Times New Roman" w:cs="Times New Roman"/>
              </w:rPr>
              <w:t xml:space="preserve">existing and </w:t>
            </w:r>
            <w:r w:rsidRPr="00BE7022">
              <w:rPr>
                <w:rFonts w:ascii="Times New Roman" w:hAnsi="Times New Roman" w:cs="Times New Roman"/>
              </w:rPr>
              <w:t xml:space="preserve">activity slash material 1” to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diameter and 2’ or longer.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3BAC">
              <w:rPr>
                <w:rFonts w:ascii="Times New Roman" w:hAnsi="Times New Roman" w:cs="Times New Roman"/>
              </w:rPr>
              <w:t>Any slash that must be moved more than 50’ to meet minimum required pile size may be lopped and scattered to a maximum depth of 18”.</w:t>
            </w:r>
          </w:p>
          <w:p w14:paraId="3F7B2D1D" w14:textId="77777777" w:rsidR="001506FA" w:rsidRPr="00BE7022" w:rsidRDefault="001506FA" w:rsidP="00AB56DE">
            <w:pPr>
              <w:pStyle w:val="ListParagraph"/>
              <w:numPr>
                <w:ilvl w:val="0"/>
                <w:numId w:val="8"/>
              </w:numPr>
              <w:ind w:left="674" w:right="180" w:hanging="5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All treated material shall not be left beneath or within 10’ of the dripline of a retained tree. </w:t>
            </w:r>
          </w:p>
          <w:p w14:paraId="737E993C" w14:textId="77777777" w:rsidR="001506FA" w:rsidRPr="00BE7022" w:rsidRDefault="001506FA" w:rsidP="00AB56DE">
            <w:pPr>
              <w:pStyle w:val="ListParagraph"/>
              <w:numPr>
                <w:ilvl w:val="0"/>
                <w:numId w:val="8"/>
              </w:numPr>
              <w:ind w:left="674" w:right="180" w:hanging="54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Piles should be at least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x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 xml:space="preserve">’ in diameter, 15’ apart, &amp; 10’ from residual tree </w:t>
            </w:r>
            <w:r>
              <w:rPr>
                <w:rFonts w:ascii="Times New Roman" w:hAnsi="Times New Roman" w:cs="Times New Roman"/>
              </w:rPr>
              <w:t xml:space="preserve">boles. </w:t>
            </w:r>
            <w:r w:rsidRPr="00BE7022">
              <w:rPr>
                <w:rFonts w:ascii="Times New Roman" w:hAnsi="Times New Roman" w:cs="Times New Roman"/>
              </w:rPr>
              <w:t>Cut conifers in order to create piles when needed.</w:t>
            </w:r>
          </w:p>
          <w:p w14:paraId="5AC97B9F" w14:textId="77777777" w:rsidR="001506FA" w:rsidRPr="00BE7022" w:rsidRDefault="001506FA" w:rsidP="00AB56DE">
            <w:pPr>
              <w:pStyle w:val="ListParagraph"/>
              <w:numPr>
                <w:ilvl w:val="0"/>
                <w:numId w:val="8"/>
              </w:numPr>
              <w:ind w:left="674" w:right="180" w:hanging="54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 xml:space="preserve">Treated bole wood </w:t>
            </w:r>
            <w:r>
              <w:rPr>
                <w:rFonts w:ascii="Times New Roman" w:hAnsi="Times New Roman" w:cs="Times New Roman"/>
              </w:rPr>
              <w:t>6</w:t>
            </w:r>
            <w:r w:rsidRPr="00BE7022">
              <w:rPr>
                <w:rFonts w:ascii="Times New Roman" w:hAnsi="Times New Roman" w:cs="Times New Roman"/>
              </w:rPr>
              <w:t>” in diameter or greater must be scattered and be in contact with th</w:t>
            </w:r>
            <w:r>
              <w:rPr>
                <w:rFonts w:ascii="Times New Roman" w:hAnsi="Times New Roman" w:cs="Times New Roman"/>
              </w:rPr>
              <w:t xml:space="preserve">e ground. </w:t>
            </w:r>
            <w:r w:rsidRPr="00BE7022">
              <w:rPr>
                <w:rFonts w:ascii="Times New Roman" w:hAnsi="Times New Roman" w:cs="Times New Roman"/>
              </w:rPr>
              <w:t>Individual boles of 8” or greater must be bucked into 4’ lengths beginning at the large end.</w:t>
            </w:r>
          </w:p>
          <w:p w14:paraId="7E986118" w14:textId="77777777" w:rsidR="001506FA" w:rsidRDefault="001506FA" w:rsidP="00AB56DE">
            <w:pPr>
              <w:pStyle w:val="ListParagraph"/>
              <w:numPr>
                <w:ilvl w:val="0"/>
                <w:numId w:val="8"/>
              </w:numPr>
              <w:ind w:left="674" w:right="180" w:hanging="54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Pull back slash and construct piles at least 50’ from any infrastructure and private property boundaries.</w:t>
            </w:r>
          </w:p>
          <w:p w14:paraId="36D1C9DC" w14:textId="77777777" w:rsidR="001506FA" w:rsidRPr="00101C2C" w:rsidRDefault="001506FA" w:rsidP="00AB56DE">
            <w:pPr>
              <w:pStyle w:val="ListParagraph"/>
              <w:numPr>
                <w:ilvl w:val="0"/>
                <w:numId w:val="8"/>
              </w:numPr>
              <w:ind w:left="674" w:right="180" w:hanging="540"/>
              <w:rPr>
                <w:rFonts w:ascii="Times New Roman" w:hAnsi="Times New Roman" w:cs="Times New Roman"/>
              </w:rPr>
            </w:pPr>
            <w:r w:rsidRPr="00101C2C">
              <w:rPr>
                <w:rFonts w:ascii="Times New Roman" w:hAnsi="Times New Roman" w:cs="Times New Roman"/>
              </w:rPr>
              <w:t>Retain an average of 2 piles per acre for wildlife habitat, including any piles remaining from previous vegetation treatment, distributed randomly throughout the unit.</w:t>
            </w:r>
          </w:p>
          <w:p w14:paraId="30A347B0" w14:textId="2855E684" w:rsidR="001506FA" w:rsidRDefault="001506FA" w:rsidP="00AB56DE">
            <w:pPr>
              <w:pStyle w:val="ListParagraph"/>
              <w:numPr>
                <w:ilvl w:val="0"/>
                <w:numId w:val="8"/>
              </w:numPr>
              <w:ind w:left="674" w:right="180" w:hanging="540"/>
              <w:rPr>
                <w:rFonts w:ascii="Times New Roman" w:hAnsi="Times New Roman" w:cs="Times New Roman"/>
              </w:rPr>
            </w:pPr>
            <w:r w:rsidRPr="00BE7022">
              <w:rPr>
                <w:rFonts w:ascii="Times New Roman" w:hAnsi="Times New Roman" w:cs="Times New Roman"/>
              </w:rPr>
              <w:t>Piles must be constructed a minimum of 100’ from all power lines.</w:t>
            </w:r>
          </w:p>
        </w:tc>
      </w:tr>
    </w:tbl>
    <w:p w14:paraId="654ABF2E" w14:textId="77777777" w:rsidR="009678FE" w:rsidRPr="00582A2B" w:rsidRDefault="00D17353">
      <w:pPr>
        <w:widowControl/>
        <w:rPr>
          <w:rFonts w:asciiTheme="minorHAnsi" w:hAnsiTheme="minorHAnsi"/>
          <w:sz w:val="24"/>
          <w:szCs w:val="24"/>
        </w:rPr>
      </w:pPr>
      <w:r w:rsidRPr="00582A2B">
        <w:rPr>
          <w:rFonts w:asciiTheme="minorHAnsi" w:hAnsiTheme="minorHAnsi"/>
          <w:sz w:val="24"/>
          <w:szCs w:val="24"/>
        </w:rPr>
        <w:t xml:space="preserve">   </w:t>
      </w:r>
      <w:r w:rsidR="009678FE" w:rsidRPr="00582A2B">
        <w:rPr>
          <w:rFonts w:asciiTheme="minorHAnsi" w:hAnsiTheme="minorHAnsi"/>
          <w:sz w:val="24"/>
          <w:szCs w:val="24"/>
        </w:rPr>
        <w:t xml:space="preserve">      </w:t>
      </w: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67"/>
        <w:gridCol w:w="11637"/>
      </w:tblGrid>
      <w:tr w:rsidR="009678FE" w:rsidRPr="00582A2B" w14:paraId="664C1E60" w14:textId="77777777" w:rsidTr="00CB0054">
        <w:tc>
          <w:tcPr>
            <w:tcW w:w="2767" w:type="dxa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single" w:sz="18" w:space="0" w:color="auto"/>
            </w:tcBorders>
            <w:vAlign w:val="center"/>
          </w:tcPr>
          <w:p w14:paraId="7F954630" w14:textId="7D640408" w:rsidR="009678FE" w:rsidRPr="0030267E" w:rsidRDefault="00BF2D41" w:rsidP="00BF2D41">
            <w:pPr>
              <w:widowControl/>
              <w:ind w:right="1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BOUNDARY DESIGNATION AND TREE MARK</w:t>
            </w:r>
          </w:p>
        </w:tc>
        <w:tc>
          <w:tcPr>
            <w:tcW w:w="11637" w:type="dxa"/>
            <w:tcBorders>
              <w:top w:val="single" w:sz="18" w:space="0" w:color="000000"/>
              <w:left w:val="single" w:sz="18" w:space="0" w:color="auto"/>
              <w:bottom w:val="single" w:sz="2" w:space="0" w:color="000000"/>
              <w:right w:val="single" w:sz="18" w:space="0" w:color="000000"/>
            </w:tcBorders>
            <w:vAlign w:val="center"/>
          </w:tcPr>
          <w:p w14:paraId="535D2B8C" w14:textId="6102A956" w:rsidR="00BF2D41" w:rsidRDefault="00582A2B" w:rsidP="00BF2D41">
            <w:pPr>
              <w:pStyle w:val="axNormal"/>
              <w:numPr>
                <w:ilvl w:val="1"/>
                <w:numId w:val="12"/>
              </w:numPr>
              <w:tabs>
                <w:tab w:val="clear" w:pos="720"/>
                <w:tab w:val="clear" w:pos="1440"/>
                <w:tab w:val="clear" w:pos="2160"/>
                <w:tab w:val="left" w:pos="747"/>
                <w:tab w:val="left" w:pos="791"/>
              </w:tabs>
              <w:ind w:left="747" w:hanging="406"/>
              <w:rPr>
                <w:rFonts w:ascii="Times New Roman" w:hAnsi="Times New Roman" w:cs="Times New Roman"/>
                <w:sz w:val="22"/>
                <w:szCs w:val="22"/>
              </w:rPr>
            </w:pP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Boundary trees marked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with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E39D7">
              <w:rPr>
                <w:rFonts w:ascii="Times New Roman" w:hAnsi="Times New Roman" w:cs="Times New Roman"/>
                <w:sz w:val="22"/>
                <w:szCs w:val="22"/>
              </w:rPr>
              <w:t>orange</w:t>
            </w:r>
            <w:r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flagging</w:t>
            </w:r>
            <w:r w:rsidR="00353D72" w:rsidRPr="009E5341">
              <w:rPr>
                <w:rFonts w:ascii="Times New Roman" w:hAnsi="Times New Roman" w:cs="Times New Roman"/>
                <w:sz w:val="22"/>
                <w:szCs w:val="22"/>
              </w:rPr>
              <w:t xml:space="preserve"> and </w:t>
            </w:r>
            <w:r w:rsidR="00353D72"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painted in orange</w:t>
            </w:r>
            <w:r w:rsidRPr="009E534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14:paraId="09644232" w14:textId="2657B8D1" w:rsidR="003B41DF" w:rsidRPr="00BF2D41" w:rsidRDefault="00BF2D41" w:rsidP="00BB3D14">
            <w:pPr>
              <w:pStyle w:val="ListParagraph"/>
              <w:numPr>
                <w:ilvl w:val="0"/>
                <w:numId w:val="24"/>
              </w:numPr>
              <w:tabs>
                <w:tab w:val="left" w:pos="791"/>
              </w:tabs>
              <w:ind w:left="791" w:hanging="450"/>
              <w:rPr>
                <w:rFonts w:ascii="Times New Roman" w:hAnsi="Times New Roman"/>
              </w:rPr>
            </w:pPr>
            <w:r w:rsidRPr="009347C5">
              <w:rPr>
                <w:rFonts w:ascii="Times New Roman" w:hAnsi="Times New Roman"/>
              </w:rPr>
              <w:t xml:space="preserve">This is a </w:t>
            </w:r>
            <w:r w:rsidR="000703DF" w:rsidRPr="000703DF">
              <w:rPr>
                <w:rFonts w:ascii="Times New Roman" w:hAnsi="Times New Roman"/>
              </w:rPr>
              <w:t>cut</w:t>
            </w:r>
            <w:r w:rsidRPr="009347C5">
              <w:rPr>
                <w:rFonts w:ascii="Times New Roman" w:hAnsi="Times New Roman"/>
              </w:rPr>
              <w:t>-tree mark;</w:t>
            </w:r>
            <w:r w:rsidR="000703DF">
              <w:rPr>
                <w:rFonts w:ascii="Times New Roman" w:hAnsi="Times New Roman"/>
              </w:rPr>
              <w:t xml:space="preserve"> cut</w:t>
            </w:r>
            <w:r w:rsidRPr="009347C5">
              <w:rPr>
                <w:rFonts w:ascii="Times New Roman" w:hAnsi="Times New Roman"/>
              </w:rPr>
              <w:t>-tree</w:t>
            </w:r>
            <w:r w:rsidR="009347C5" w:rsidRPr="009347C5">
              <w:rPr>
                <w:rFonts w:ascii="Times New Roman" w:hAnsi="Times New Roman"/>
              </w:rPr>
              <w:t>s will be</w:t>
            </w:r>
            <w:r w:rsidRPr="009347C5">
              <w:rPr>
                <w:rFonts w:ascii="Times New Roman" w:hAnsi="Times New Roman"/>
              </w:rPr>
              <w:t xml:space="preserve"> designated </w:t>
            </w:r>
            <w:r w:rsidR="009347C5" w:rsidRPr="009347C5">
              <w:rPr>
                <w:rFonts w:ascii="Times New Roman" w:hAnsi="Times New Roman"/>
              </w:rPr>
              <w:t>with</w:t>
            </w:r>
            <w:r w:rsidRPr="009347C5">
              <w:rPr>
                <w:rFonts w:ascii="Times New Roman" w:hAnsi="Times New Roman"/>
              </w:rPr>
              <w:t xml:space="preserve"> </w:t>
            </w:r>
            <w:r w:rsidR="000703DF">
              <w:rPr>
                <w:rFonts w:ascii="Times New Roman" w:hAnsi="Times New Roman"/>
              </w:rPr>
              <w:t>either one vertical slash of blue</w:t>
            </w:r>
            <w:r w:rsidRPr="009347C5">
              <w:rPr>
                <w:rFonts w:ascii="Times New Roman" w:hAnsi="Times New Roman"/>
              </w:rPr>
              <w:t xml:space="preserve"> paint </w:t>
            </w:r>
            <w:r w:rsidR="000703DF">
              <w:rPr>
                <w:rFonts w:ascii="Times New Roman" w:hAnsi="Times New Roman"/>
              </w:rPr>
              <w:t>on trees &lt; 5” DBH or two vertical slashes on opposite sides of</w:t>
            </w:r>
            <w:r w:rsidRPr="009347C5">
              <w:rPr>
                <w:rFonts w:ascii="Times New Roman" w:hAnsi="Times New Roman"/>
              </w:rPr>
              <w:t xml:space="preserve"> the bole of the tree</w:t>
            </w:r>
            <w:r w:rsidR="009347C5" w:rsidRPr="009347C5">
              <w:rPr>
                <w:rFonts w:ascii="Times New Roman" w:hAnsi="Times New Roman"/>
              </w:rPr>
              <w:t xml:space="preserve"> and a butt mark.</w:t>
            </w:r>
          </w:p>
        </w:tc>
      </w:tr>
      <w:tr w:rsidR="00972B4D" w:rsidRPr="00582A2B" w14:paraId="72159463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265995E8" w14:textId="40EA88A2" w:rsidR="00972B4D" w:rsidRPr="0030267E" w:rsidRDefault="00972B4D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TIMING RESTRICTIONS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7999645B" w14:textId="0DBF6D61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Raptor nest areas, including species-specific buffers, will generally have no treatment activity from March 1 through September 15, depending on species, or until determined unoccupied by the wildlife biologist. Access through buffers during this period will be assessed by the wildlife biologist.</w:t>
            </w:r>
          </w:p>
          <w:p w14:paraId="6B68BEA3" w14:textId="5E71F702" w:rsid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 operations from December 1 through April 30 for elk, unless determined appropriate to treat by the wildlife biologist.</w:t>
            </w:r>
          </w:p>
          <w:p w14:paraId="55D89D40" w14:textId="693132BF" w:rsidR="00972B4D" w:rsidRPr="00972B4D" w:rsidRDefault="00972B4D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Project operations will not be conducted on Memorial Day, 4</w:t>
            </w:r>
            <w:r w:rsidRPr="00972B4D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of July and Labor Day holiday weekends and on Sundays. Operating time for heavy equipment and chainsaws shall be limited to the hours of 7am to 7pm.</w:t>
            </w:r>
          </w:p>
        </w:tc>
      </w:tr>
      <w:tr w:rsidR="002E0F8F" w:rsidRPr="00582A2B" w14:paraId="09B5EAF2" w14:textId="77777777" w:rsidTr="00BB6C02">
        <w:trPr>
          <w:trHeight w:val="75"/>
        </w:trPr>
        <w:tc>
          <w:tcPr>
            <w:tcW w:w="2767" w:type="dxa"/>
            <w:tcBorders>
              <w:top w:val="single" w:sz="2" w:space="0" w:color="000000"/>
              <w:left w:val="single" w:sz="18" w:space="0" w:color="000000"/>
              <w:bottom w:val="single" w:sz="18" w:space="0" w:color="auto"/>
              <w:right w:val="single" w:sz="18" w:space="0" w:color="auto"/>
            </w:tcBorders>
            <w:vAlign w:val="center"/>
          </w:tcPr>
          <w:p w14:paraId="5FAEB7CA" w14:textId="23030EAC" w:rsidR="002E0F8F" w:rsidRDefault="002E0F8F" w:rsidP="00BF2D41">
            <w:pPr>
              <w:widowControl/>
              <w:ind w:left="360" w:right="3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MMG CONCERNS</w:t>
            </w:r>
          </w:p>
        </w:tc>
        <w:tc>
          <w:tcPr>
            <w:tcW w:w="11637" w:type="dxa"/>
            <w:tcBorders>
              <w:top w:val="single" w:sz="2" w:space="0" w:color="000000"/>
              <w:left w:val="single" w:sz="18" w:space="0" w:color="auto"/>
              <w:bottom w:val="single" w:sz="18" w:space="0" w:color="auto"/>
              <w:right w:val="single" w:sz="18" w:space="0" w:color="000000"/>
            </w:tcBorders>
            <w:vAlign w:val="center"/>
          </w:tcPr>
          <w:p w14:paraId="4CCDAEC0" w14:textId="176A32D0" w:rsidR="002E0F8F" w:rsidRDefault="003239FF" w:rsidP="00972B4D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</w:rPr>
            </w:pPr>
            <w:r w:rsidRPr="003239FF">
              <w:rPr>
                <w:rFonts w:ascii="Times New Roman" w:hAnsi="Times New Roman"/>
              </w:rPr>
              <w:t>None</w:t>
            </w:r>
          </w:p>
        </w:tc>
      </w:tr>
      <w:tr w:rsidR="00CB0054" w:rsidRPr="00582A2B" w14:paraId="4F93AFEC" w14:textId="77777777" w:rsidTr="00D17353">
        <w:tc>
          <w:tcPr>
            <w:tcW w:w="2767" w:type="dxa"/>
            <w:tcBorders>
              <w:top w:val="single" w:sz="18" w:space="0" w:color="auto"/>
              <w:left w:val="single" w:sz="18" w:space="0" w:color="000000"/>
              <w:bottom w:val="single" w:sz="18" w:space="0" w:color="000000"/>
              <w:right w:val="single" w:sz="18" w:space="0" w:color="auto"/>
            </w:tcBorders>
            <w:vAlign w:val="center"/>
          </w:tcPr>
          <w:p w14:paraId="5B5E0346" w14:textId="7F76774E" w:rsidR="00CB0054" w:rsidRPr="0030267E" w:rsidRDefault="00CB0054" w:rsidP="00414F33">
            <w:pPr>
              <w:widowControl/>
              <w:ind w:left="360" w:righ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267E">
              <w:rPr>
                <w:rFonts w:ascii="Times New Roman" w:hAnsi="Times New Roman"/>
                <w:b/>
                <w:bCs/>
                <w:sz w:val="24"/>
                <w:szCs w:val="24"/>
              </w:rPr>
              <w:t>FOR MORE INFO:</w:t>
            </w:r>
          </w:p>
        </w:tc>
        <w:tc>
          <w:tcPr>
            <w:tcW w:w="11637" w:type="dxa"/>
            <w:tcBorders>
              <w:top w:val="single" w:sz="18" w:space="0" w:color="auto"/>
              <w:left w:val="single" w:sz="18" w:space="0" w:color="auto"/>
              <w:bottom w:val="single" w:sz="15" w:space="0" w:color="000000"/>
              <w:right w:val="single" w:sz="18" w:space="0" w:color="000000"/>
            </w:tcBorders>
            <w:vAlign w:val="center"/>
          </w:tcPr>
          <w:p w14:paraId="40B08965" w14:textId="2AA11F76" w:rsidR="00CB0054" w:rsidRPr="009E5341" w:rsidRDefault="000254F9" w:rsidP="000254F9">
            <w:pPr>
              <w:widowControl/>
              <w:ind w:left="360" w:right="36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Forsythe II</w:t>
            </w:r>
            <w:r w:rsidR="002A31AE" w:rsidRPr="009E5341">
              <w:rPr>
                <w:rFonts w:ascii="Times New Roman" w:hAnsi="Times New Roman"/>
                <w:sz w:val="22"/>
                <w:szCs w:val="22"/>
              </w:rPr>
              <w:t xml:space="preserve"> EA</w:t>
            </w:r>
          </w:p>
        </w:tc>
      </w:tr>
    </w:tbl>
    <w:p w14:paraId="6FD0CE78" w14:textId="77777777" w:rsidR="009678FE" w:rsidRDefault="009678FE" w:rsidP="006F65FC">
      <w:pPr>
        <w:widowControl/>
      </w:pPr>
    </w:p>
    <w:p w14:paraId="643B867E" w14:textId="77777777" w:rsidR="00995E18" w:rsidRDefault="00995E18" w:rsidP="006F65FC">
      <w:pPr>
        <w:widowControl/>
      </w:pPr>
    </w:p>
    <w:p w14:paraId="38A1E385" w14:textId="77777777" w:rsidR="00995E18" w:rsidRDefault="00995E18" w:rsidP="00995E18">
      <w:pPr>
        <w:widowControl/>
      </w:pPr>
    </w:p>
    <w:p w14:paraId="35A23DF5" w14:textId="77777777" w:rsidR="00995E18" w:rsidRDefault="00995E18" w:rsidP="00995E18">
      <w:pPr>
        <w:widowControl/>
        <w:ind w:left="1530"/>
      </w:pPr>
      <w:r>
        <w:rPr>
          <w:noProof/>
        </w:rPr>
        <w:lastRenderedPageBreak/>
        <w:drawing>
          <wp:inline distT="0" distB="0" distL="0" distR="0" wp14:anchorId="3D4A0D08" wp14:editId="5CE2B423">
            <wp:extent cx="6486525" cy="4890135"/>
            <wp:effectExtent l="0" t="0" r="952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97371" cy="4898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2FB546" w14:textId="77777777" w:rsidR="00995E18" w:rsidRDefault="00995E18" w:rsidP="00995E18">
      <w:pPr>
        <w:ind w:left="2070" w:hanging="180"/>
      </w:pPr>
      <w:r w:rsidRPr="007625A7">
        <w:rPr>
          <w:rFonts w:ascii="Times New Roman" w:hAnsi="Times New Roman"/>
          <w:sz w:val="18"/>
          <w:szCs w:val="18"/>
        </w:rPr>
        <w:t>Hoffman, James T. “Management Guide for Dwarf Mistletoe”. Forest Health Protection and State Forestry Organizations, May 2004. Web.</w:t>
      </w:r>
      <w:r>
        <w:t xml:space="preserve"> </w:t>
      </w:r>
    </w:p>
    <w:p w14:paraId="5AA37B4B" w14:textId="77777777" w:rsidR="00995E18" w:rsidRDefault="00995E18" w:rsidP="006F65FC">
      <w:pPr>
        <w:widowControl/>
      </w:pPr>
    </w:p>
    <w:sectPr w:rsidR="00995E18" w:rsidSect="00F579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5840" w:h="12240" w:orient="landscape"/>
      <w:pgMar w:top="720" w:right="720" w:bottom="720" w:left="720" w:header="36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70AE6" w14:textId="77777777" w:rsidR="00CA7932" w:rsidRDefault="00CA7932" w:rsidP="00363F56">
      <w:r>
        <w:separator/>
      </w:r>
    </w:p>
  </w:endnote>
  <w:endnote w:type="continuationSeparator" w:id="0">
    <w:p w14:paraId="69803401" w14:textId="77777777" w:rsidR="00CA7932" w:rsidRDefault="00CA7932" w:rsidP="0036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3306D2" w14:textId="77777777" w:rsidR="00B1416F" w:rsidRDefault="00B141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92FB20" w14:textId="77777777" w:rsidR="00B1416F" w:rsidRDefault="00B1416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B0F61" w14:textId="77777777" w:rsidR="00B1416F" w:rsidRDefault="00B141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43EA38" w14:textId="77777777" w:rsidR="00CA7932" w:rsidRDefault="00CA7932" w:rsidP="00363F56">
      <w:r>
        <w:separator/>
      </w:r>
    </w:p>
  </w:footnote>
  <w:footnote w:type="continuationSeparator" w:id="0">
    <w:p w14:paraId="46C9B721" w14:textId="77777777" w:rsidR="00CA7932" w:rsidRDefault="00CA7932" w:rsidP="0036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F2D3D" w14:textId="77777777" w:rsidR="00B1416F" w:rsidRDefault="00B1416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31404"/>
      <w:docPartObj>
        <w:docPartGallery w:val="Watermarks"/>
        <w:docPartUnique/>
      </w:docPartObj>
    </w:sdtPr>
    <w:sdtEndPr/>
    <w:sdtContent>
      <w:p w14:paraId="5F97DA74" w14:textId="0F419E0F" w:rsidR="00B1416F" w:rsidRDefault="00526C2F">
        <w:pPr>
          <w:pStyle w:val="Header"/>
        </w:pPr>
        <w:r>
          <w:rPr>
            <w:noProof/>
          </w:rPr>
          <w:pict w14:anchorId="3569E5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631A0" w14:textId="77777777" w:rsidR="00B1416F" w:rsidRDefault="00B1416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54C35"/>
    <w:multiLevelType w:val="hybridMultilevel"/>
    <w:tmpl w:val="5454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BAFC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9B1AA3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  <w:szCs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F2E13"/>
    <w:multiLevelType w:val="hybridMultilevel"/>
    <w:tmpl w:val="C742C2BE"/>
    <w:lvl w:ilvl="0" w:tplc="9B4E9440">
      <w:start w:val="1"/>
      <w:numFmt w:val="bullet"/>
      <w:lvlText w:val=""/>
      <w:lvlJc w:val="left"/>
      <w:pPr>
        <w:ind w:left="648" w:hanging="50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D72808"/>
    <w:multiLevelType w:val="hybridMultilevel"/>
    <w:tmpl w:val="F4561572"/>
    <w:lvl w:ilvl="0" w:tplc="9B4E9440">
      <w:start w:val="1"/>
      <w:numFmt w:val="bullet"/>
      <w:lvlText w:val=""/>
      <w:lvlJc w:val="left"/>
      <w:pPr>
        <w:ind w:left="13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3" w15:restartNumberingAfterBreak="0">
    <w:nsid w:val="1A1F4376"/>
    <w:multiLevelType w:val="hybridMultilevel"/>
    <w:tmpl w:val="FF10B6E4"/>
    <w:lvl w:ilvl="0" w:tplc="8A0675EA">
      <w:start w:val="1"/>
      <w:numFmt w:val="bullet"/>
      <w:lvlText w:val=""/>
      <w:lvlJc w:val="left"/>
      <w:pPr>
        <w:ind w:left="576" w:hanging="43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D131D1B"/>
    <w:multiLevelType w:val="hybridMultilevel"/>
    <w:tmpl w:val="94CE1C28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29064E"/>
    <w:multiLevelType w:val="hybridMultilevel"/>
    <w:tmpl w:val="FD1E2C64"/>
    <w:lvl w:ilvl="0" w:tplc="0409000B">
      <w:start w:val="1"/>
      <w:numFmt w:val="bullet"/>
      <w:lvlText w:val=""/>
      <w:lvlJc w:val="left"/>
      <w:pPr>
        <w:ind w:left="92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6" w15:restartNumberingAfterBreak="0">
    <w:nsid w:val="21A452E3"/>
    <w:multiLevelType w:val="hybridMultilevel"/>
    <w:tmpl w:val="B108F7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783CDE"/>
    <w:multiLevelType w:val="hybridMultilevel"/>
    <w:tmpl w:val="7C3EE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E243C5"/>
    <w:multiLevelType w:val="hybridMultilevel"/>
    <w:tmpl w:val="2E783C3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E51548"/>
    <w:multiLevelType w:val="hybridMultilevel"/>
    <w:tmpl w:val="2884A5E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F1684"/>
    <w:multiLevelType w:val="hybridMultilevel"/>
    <w:tmpl w:val="0F6C21EC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362E41EE"/>
    <w:multiLevelType w:val="hybridMultilevel"/>
    <w:tmpl w:val="1554B1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55A234A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29A3"/>
    <w:multiLevelType w:val="hybridMultilevel"/>
    <w:tmpl w:val="34FC07C6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422C4400"/>
    <w:multiLevelType w:val="hybridMultilevel"/>
    <w:tmpl w:val="5AA4D47E"/>
    <w:lvl w:ilvl="0" w:tplc="0409000F">
      <w:start w:val="1"/>
      <w:numFmt w:val="decimal"/>
      <w:lvlText w:val="%1."/>
      <w:lvlJc w:val="left"/>
      <w:pPr>
        <w:ind w:left="948" w:hanging="360"/>
      </w:pPr>
    </w:lvl>
    <w:lvl w:ilvl="1" w:tplc="04090019" w:tentative="1">
      <w:start w:val="1"/>
      <w:numFmt w:val="lowerLetter"/>
      <w:lvlText w:val="%2."/>
      <w:lvlJc w:val="left"/>
      <w:pPr>
        <w:ind w:left="1668" w:hanging="360"/>
      </w:pPr>
    </w:lvl>
    <w:lvl w:ilvl="2" w:tplc="0409001B" w:tentative="1">
      <w:start w:val="1"/>
      <w:numFmt w:val="lowerRoman"/>
      <w:lvlText w:val="%3."/>
      <w:lvlJc w:val="right"/>
      <w:pPr>
        <w:ind w:left="2388" w:hanging="180"/>
      </w:pPr>
    </w:lvl>
    <w:lvl w:ilvl="3" w:tplc="0409000F" w:tentative="1">
      <w:start w:val="1"/>
      <w:numFmt w:val="decimal"/>
      <w:lvlText w:val="%4."/>
      <w:lvlJc w:val="left"/>
      <w:pPr>
        <w:ind w:left="3108" w:hanging="360"/>
      </w:pPr>
    </w:lvl>
    <w:lvl w:ilvl="4" w:tplc="04090019" w:tentative="1">
      <w:start w:val="1"/>
      <w:numFmt w:val="lowerLetter"/>
      <w:lvlText w:val="%5."/>
      <w:lvlJc w:val="left"/>
      <w:pPr>
        <w:ind w:left="3828" w:hanging="360"/>
      </w:pPr>
    </w:lvl>
    <w:lvl w:ilvl="5" w:tplc="0409001B" w:tentative="1">
      <w:start w:val="1"/>
      <w:numFmt w:val="lowerRoman"/>
      <w:lvlText w:val="%6."/>
      <w:lvlJc w:val="right"/>
      <w:pPr>
        <w:ind w:left="4548" w:hanging="180"/>
      </w:pPr>
    </w:lvl>
    <w:lvl w:ilvl="6" w:tplc="0409000F" w:tentative="1">
      <w:start w:val="1"/>
      <w:numFmt w:val="decimal"/>
      <w:lvlText w:val="%7."/>
      <w:lvlJc w:val="left"/>
      <w:pPr>
        <w:ind w:left="5268" w:hanging="360"/>
      </w:pPr>
    </w:lvl>
    <w:lvl w:ilvl="7" w:tplc="04090019" w:tentative="1">
      <w:start w:val="1"/>
      <w:numFmt w:val="lowerLetter"/>
      <w:lvlText w:val="%8."/>
      <w:lvlJc w:val="left"/>
      <w:pPr>
        <w:ind w:left="5988" w:hanging="360"/>
      </w:pPr>
    </w:lvl>
    <w:lvl w:ilvl="8" w:tplc="0409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14" w15:restartNumberingAfterBreak="0">
    <w:nsid w:val="43A71061"/>
    <w:multiLevelType w:val="hybridMultilevel"/>
    <w:tmpl w:val="27E878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 w15:restartNumberingAfterBreak="0">
    <w:nsid w:val="463C41EA"/>
    <w:multiLevelType w:val="hybridMultilevel"/>
    <w:tmpl w:val="DA022F38"/>
    <w:lvl w:ilvl="0" w:tplc="0409000F">
      <w:start w:val="1"/>
      <w:numFmt w:val="decimal"/>
      <w:lvlText w:val="%1."/>
      <w:lvlJc w:val="left"/>
      <w:pPr>
        <w:ind w:left="648" w:hanging="50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4AD92189"/>
    <w:multiLevelType w:val="hybridMultilevel"/>
    <w:tmpl w:val="9EFCBDD8"/>
    <w:lvl w:ilvl="0" w:tplc="9B4E94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9D2BDF"/>
    <w:multiLevelType w:val="hybridMultilevel"/>
    <w:tmpl w:val="701A198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E3BCE"/>
    <w:multiLevelType w:val="hybridMultilevel"/>
    <w:tmpl w:val="A76080F8"/>
    <w:lvl w:ilvl="0" w:tplc="04090015">
      <w:start w:val="1"/>
      <w:numFmt w:val="upperLetter"/>
      <w:lvlText w:val="%1."/>
      <w:lvlJc w:val="left"/>
      <w:pPr>
        <w:ind w:left="-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9" w15:restartNumberingAfterBreak="0">
    <w:nsid w:val="65037D0A"/>
    <w:multiLevelType w:val="hybridMultilevel"/>
    <w:tmpl w:val="8AF8D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2C0A86"/>
    <w:multiLevelType w:val="hybridMultilevel"/>
    <w:tmpl w:val="F562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957C11"/>
    <w:multiLevelType w:val="hybridMultilevel"/>
    <w:tmpl w:val="D45C6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F72699"/>
    <w:multiLevelType w:val="hybridMultilevel"/>
    <w:tmpl w:val="C9183878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 w15:restartNumberingAfterBreak="0">
    <w:nsid w:val="6C640A44"/>
    <w:multiLevelType w:val="hybridMultilevel"/>
    <w:tmpl w:val="242293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9D3C51"/>
    <w:multiLevelType w:val="hybridMultilevel"/>
    <w:tmpl w:val="6E5A0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77467E"/>
    <w:multiLevelType w:val="hybridMultilevel"/>
    <w:tmpl w:val="38E297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7206B8"/>
    <w:multiLevelType w:val="hybridMultilevel"/>
    <w:tmpl w:val="F0D0F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860A9"/>
    <w:multiLevelType w:val="hybridMultilevel"/>
    <w:tmpl w:val="DABAC1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B1D24"/>
    <w:multiLevelType w:val="hybridMultilevel"/>
    <w:tmpl w:val="4D204D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5"/>
  </w:num>
  <w:num w:numId="4">
    <w:abstractNumId w:val="22"/>
  </w:num>
  <w:num w:numId="5">
    <w:abstractNumId w:val="1"/>
  </w:num>
  <w:num w:numId="6">
    <w:abstractNumId w:val="22"/>
  </w:num>
  <w:num w:numId="7">
    <w:abstractNumId w:val="10"/>
  </w:num>
  <w:num w:numId="8">
    <w:abstractNumId w:val="3"/>
  </w:num>
  <w:num w:numId="9">
    <w:abstractNumId w:val="1"/>
  </w:num>
  <w:num w:numId="10">
    <w:abstractNumId w:val="28"/>
  </w:num>
  <w:num w:numId="11">
    <w:abstractNumId w:val="8"/>
  </w:num>
  <w:num w:numId="12">
    <w:abstractNumId w:val="6"/>
  </w:num>
  <w:num w:numId="13">
    <w:abstractNumId w:val="18"/>
  </w:num>
  <w:num w:numId="14">
    <w:abstractNumId w:val="13"/>
  </w:num>
  <w:num w:numId="15">
    <w:abstractNumId w:val="17"/>
  </w:num>
  <w:num w:numId="16">
    <w:abstractNumId w:val="0"/>
  </w:num>
  <w:num w:numId="17">
    <w:abstractNumId w:val="19"/>
  </w:num>
  <w:num w:numId="18">
    <w:abstractNumId w:val="24"/>
  </w:num>
  <w:num w:numId="19">
    <w:abstractNumId w:val="16"/>
  </w:num>
  <w:num w:numId="20">
    <w:abstractNumId w:val="2"/>
  </w:num>
  <w:num w:numId="21">
    <w:abstractNumId w:val="11"/>
  </w:num>
  <w:num w:numId="22">
    <w:abstractNumId w:val="4"/>
  </w:num>
  <w:num w:numId="23">
    <w:abstractNumId w:val="23"/>
  </w:num>
  <w:num w:numId="24">
    <w:abstractNumId w:val="21"/>
  </w:num>
  <w:num w:numId="25">
    <w:abstractNumId w:val="20"/>
  </w:num>
  <w:num w:numId="26">
    <w:abstractNumId w:val="15"/>
  </w:num>
  <w:num w:numId="27">
    <w:abstractNumId w:val="26"/>
  </w:num>
  <w:num w:numId="28">
    <w:abstractNumId w:val="12"/>
  </w:num>
  <w:num w:numId="29">
    <w:abstractNumId w:val="25"/>
  </w:num>
  <w:num w:numId="30">
    <w:abstractNumId w:val="9"/>
  </w:num>
  <w:num w:numId="31">
    <w:abstractNumId w:val="7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02E"/>
    <w:rsid w:val="00010BD1"/>
    <w:rsid w:val="00012526"/>
    <w:rsid w:val="0002309B"/>
    <w:rsid w:val="000254F9"/>
    <w:rsid w:val="00026D35"/>
    <w:rsid w:val="00031C72"/>
    <w:rsid w:val="00032E7A"/>
    <w:rsid w:val="000365CA"/>
    <w:rsid w:val="000537F2"/>
    <w:rsid w:val="0006679B"/>
    <w:rsid w:val="000703DF"/>
    <w:rsid w:val="000708C2"/>
    <w:rsid w:val="00072E15"/>
    <w:rsid w:val="00075B73"/>
    <w:rsid w:val="00076237"/>
    <w:rsid w:val="00077452"/>
    <w:rsid w:val="00087BED"/>
    <w:rsid w:val="0009023F"/>
    <w:rsid w:val="000B4D1A"/>
    <w:rsid w:val="000B4F55"/>
    <w:rsid w:val="000B6199"/>
    <w:rsid w:val="000D49F5"/>
    <w:rsid w:val="000E6B12"/>
    <w:rsid w:val="000F1A94"/>
    <w:rsid w:val="000F5767"/>
    <w:rsid w:val="000F722D"/>
    <w:rsid w:val="00101195"/>
    <w:rsid w:val="00101C2C"/>
    <w:rsid w:val="0010687E"/>
    <w:rsid w:val="00111752"/>
    <w:rsid w:val="00116236"/>
    <w:rsid w:val="0012106C"/>
    <w:rsid w:val="00121962"/>
    <w:rsid w:val="001223B7"/>
    <w:rsid w:val="00133798"/>
    <w:rsid w:val="00140A84"/>
    <w:rsid w:val="001506FA"/>
    <w:rsid w:val="001511DB"/>
    <w:rsid w:val="00153461"/>
    <w:rsid w:val="00156545"/>
    <w:rsid w:val="00161233"/>
    <w:rsid w:val="001634D9"/>
    <w:rsid w:val="00171E62"/>
    <w:rsid w:val="001836DA"/>
    <w:rsid w:val="001866C8"/>
    <w:rsid w:val="001A7CB4"/>
    <w:rsid w:val="001B0AC7"/>
    <w:rsid w:val="001B11A0"/>
    <w:rsid w:val="001B2F0F"/>
    <w:rsid w:val="001B3C93"/>
    <w:rsid w:val="001B40EE"/>
    <w:rsid w:val="001C3A25"/>
    <w:rsid w:val="001C4015"/>
    <w:rsid w:val="001C7D50"/>
    <w:rsid w:val="001D6037"/>
    <w:rsid w:val="001D772B"/>
    <w:rsid w:val="001E2667"/>
    <w:rsid w:val="001F15B3"/>
    <w:rsid w:val="001F28C1"/>
    <w:rsid w:val="001F68F1"/>
    <w:rsid w:val="002105A3"/>
    <w:rsid w:val="00214AF9"/>
    <w:rsid w:val="00216DA4"/>
    <w:rsid w:val="00217351"/>
    <w:rsid w:val="002209DF"/>
    <w:rsid w:val="00220D38"/>
    <w:rsid w:val="00236E83"/>
    <w:rsid w:val="0024483D"/>
    <w:rsid w:val="00250A8E"/>
    <w:rsid w:val="00251FB0"/>
    <w:rsid w:val="002738D3"/>
    <w:rsid w:val="00275784"/>
    <w:rsid w:val="00286FDF"/>
    <w:rsid w:val="002A2290"/>
    <w:rsid w:val="002A31AE"/>
    <w:rsid w:val="002A7D1A"/>
    <w:rsid w:val="002C466C"/>
    <w:rsid w:val="002C4807"/>
    <w:rsid w:val="002D3E84"/>
    <w:rsid w:val="002E0F8F"/>
    <w:rsid w:val="002E5BD1"/>
    <w:rsid w:val="002E5EDA"/>
    <w:rsid w:val="002E699C"/>
    <w:rsid w:val="002F4F78"/>
    <w:rsid w:val="0030267E"/>
    <w:rsid w:val="0031627B"/>
    <w:rsid w:val="0032053D"/>
    <w:rsid w:val="003223AA"/>
    <w:rsid w:val="00322677"/>
    <w:rsid w:val="0032291A"/>
    <w:rsid w:val="00323469"/>
    <w:rsid w:val="003239FF"/>
    <w:rsid w:val="00336A4D"/>
    <w:rsid w:val="003400D4"/>
    <w:rsid w:val="00343D28"/>
    <w:rsid w:val="003459D7"/>
    <w:rsid w:val="00352235"/>
    <w:rsid w:val="00353D72"/>
    <w:rsid w:val="00360002"/>
    <w:rsid w:val="00361B28"/>
    <w:rsid w:val="00363F56"/>
    <w:rsid w:val="00365929"/>
    <w:rsid w:val="00377792"/>
    <w:rsid w:val="00380F7B"/>
    <w:rsid w:val="003A01FF"/>
    <w:rsid w:val="003A3466"/>
    <w:rsid w:val="003A3B46"/>
    <w:rsid w:val="003B41DF"/>
    <w:rsid w:val="003E4F35"/>
    <w:rsid w:val="003F005F"/>
    <w:rsid w:val="003F2ECD"/>
    <w:rsid w:val="003F3C6F"/>
    <w:rsid w:val="003F423D"/>
    <w:rsid w:val="004021BD"/>
    <w:rsid w:val="00414F33"/>
    <w:rsid w:val="004158F7"/>
    <w:rsid w:val="00422AF2"/>
    <w:rsid w:val="0044177D"/>
    <w:rsid w:val="00442D97"/>
    <w:rsid w:val="00444689"/>
    <w:rsid w:val="004515FD"/>
    <w:rsid w:val="004552DE"/>
    <w:rsid w:val="00472CB9"/>
    <w:rsid w:val="00486200"/>
    <w:rsid w:val="0049246E"/>
    <w:rsid w:val="00497F76"/>
    <w:rsid w:val="004A7F99"/>
    <w:rsid w:val="004B061E"/>
    <w:rsid w:val="004B2246"/>
    <w:rsid w:val="004D09B6"/>
    <w:rsid w:val="004D2E02"/>
    <w:rsid w:val="005057DA"/>
    <w:rsid w:val="00516138"/>
    <w:rsid w:val="00517103"/>
    <w:rsid w:val="005266BE"/>
    <w:rsid w:val="00526963"/>
    <w:rsid w:val="00526C2F"/>
    <w:rsid w:val="00536A41"/>
    <w:rsid w:val="00536B93"/>
    <w:rsid w:val="0053775A"/>
    <w:rsid w:val="005411DA"/>
    <w:rsid w:val="005466B2"/>
    <w:rsid w:val="0054694A"/>
    <w:rsid w:val="00547668"/>
    <w:rsid w:val="0056562D"/>
    <w:rsid w:val="005674DA"/>
    <w:rsid w:val="005709E2"/>
    <w:rsid w:val="00581F40"/>
    <w:rsid w:val="00582A2B"/>
    <w:rsid w:val="00585521"/>
    <w:rsid w:val="005A13BF"/>
    <w:rsid w:val="005A5AB6"/>
    <w:rsid w:val="005A7D53"/>
    <w:rsid w:val="005B5B2C"/>
    <w:rsid w:val="005C48A0"/>
    <w:rsid w:val="005D3C44"/>
    <w:rsid w:val="005E3016"/>
    <w:rsid w:val="005E32D5"/>
    <w:rsid w:val="005E39D7"/>
    <w:rsid w:val="00600F8D"/>
    <w:rsid w:val="00604D5A"/>
    <w:rsid w:val="00630249"/>
    <w:rsid w:val="006372E6"/>
    <w:rsid w:val="00642DFB"/>
    <w:rsid w:val="00646ED2"/>
    <w:rsid w:val="006538F0"/>
    <w:rsid w:val="00655F5F"/>
    <w:rsid w:val="00670670"/>
    <w:rsid w:val="0067261B"/>
    <w:rsid w:val="006733E1"/>
    <w:rsid w:val="0069050E"/>
    <w:rsid w:val="00690587"/>
    <w:rsid w:val="00693D4A"/>
    <w:rsid w:val="00694B33"/>
    <w:rsid w:val="00697CD5"/>
    <w:rsid w:val="006A7D0D"/>
    <w:rsid w:val="006B5F24"/>
    <w:rsid w:val="006C5145"/>
    <w:rsid w:val="006D40EB"/>
    <w:rsid w:val="006D5020"/>
    <w:rsid w:val="006E541D"/>
    <w:rsid w:val="006F0B13"/>
    <w:rsid w:val="006F2FDA"/>
    <w:rsid w:val="006F3895"/>
    <w:rsid w:val="006F65FC"/>
    <w:rsid w:val="00706A73"/>
    <w:rsid w:val="00722D51"/>
    <w:rsid w:val="0073093F"/>
    <w:rsid w:val="007325DA"/>
    <w:rsid w:val="00733F62"/>
    <w:rsid w:val="0074056F"/>
    <w:rsid w:val="007411A9"/>
    <w:rsid w:val="0074450E"/>
    <w:rsid w:val="007457FC"/>
    <w:rsid w:val="00745E98"/>
    <w:rsid w:val="007576CD"/>
    <w:rsid w:val="0076742E"/>
    <w:rsid w:val="00767515"/>
    <w:rsid w:val="00767B56"/>
    <w:rsid w:val="007744AB"/>
    <w:rsid w:val="007A302E"/>
    <w:rsid w:val="007B2B08"/>
    <w:rsid w:val="007B670C"/>
    <w:rsid w:val="007B6F38"/>
    <w:rsid w:val="007D3097"/>
    <w:rsid w:val="007E5367"/>
    <w:rsid w:val="007F474E"/>
    <w:rsid w:val="007F5AAC"/>
    <w:rsid w:val="007F762B"/>
    <w:rsid w:val="00800A19"/>
    <w:rsid w:val="00806DC8"/>
    <w:rsid w:val="00807AAF"/>
    <w:rsid w:val="00814BD3"/>
    <w:rsid w:val="00834B8D"/>
    <w:rsid w:val="00836CB2"/>
    <w:rsid w:val="00843BDF"/>
    <w:rsid w:val="00846204"/>
    <w:rsid w:val="00847E12"/>
    <w:rsid w:val="00850075"/>
    <w:rsid w:val="008579AA"/>
    <w:rsid w:val="0086349C"/>
    <w:rsid w:val="0087666E"/>
    <w:rsid w:val="00881043"/>
    <w:rsid w:val="00890B3E"/>
    <w:rsid w:val="008A66C3"/>
    <w:rsid w:val="008B33EB"/>
    <w:rsid w:val="008B57E4"/>
    <w:rsid w:val="008B7886"/>
    <w:rsid w:val="008C65F7"/>
    <w:rsid w:val="008D0D02"/>
    <w:rsid w:val="008D26D6"/>
    <w:rsid w:val="008D7496"/>
    <w:rsid w:val="008E2617"/>
    <w:rsid w:val="008E4A2F"/>
    <w:rsid w:val="009009A3"/>
    <w:rsid w:val="00901CB7"/>
    <w:rsid w:val="00901F68"/>
    <w:rsid w:val="0091164D"/>
    <w:rsid w:val="00913418"/>
    <w:rsid w:val="0091551E"/>
    <w:rsid w:val="00927A68"/>
    <w:rsid w:val="009303AF"/>
    <w:rsid w:val="00930424"/>
    <w:rsid w:val="0093148C"/>
    <w:rsid w:val="009347C5"/>
    <w:rsid w:val="00940ECB"/>
    <w:rsid w:val="00944BF5"/>
    <w:rsid w:val="009460D4"/>
    <w:rsid w:val="00946F9C"/>
    <w:rsid w:val="00955E2B"/>
    <w:rsid w:val="00956837"/>
    <w:rsid w:val="00963194"/>
    <w:rsid w:val="009678FE"/>
    <w:rsid w:val="009722E3"/>
    <w:rsid w:val="00972B4D"/>
    <w:rsid w:val="00987711"/>
    <w:rsid w:val="00990094"/>
    <w:rsid w:val="00995E18"/>
    <w:rsid w:val="00997DD9"/>
    <w:rsid w:val="009A3B03"/>
    <w:rsid w:val="009A414F"/>
    <w:rsid w:val="009B7EEE"/>
    <w:rsid w:val="009C2D09"/>
    <w:rsid w:val="009D3BAC"/>
    <w:rsid w:val="009D6AD0"/>
    <w:rsid w:val="009E2DCF"/>
    <w:rsid w:val="009E5341"/>
    <w:rsid w:val="009F2679"/>
    <w:rsid w:val="009F5EC7"/>
    <w:rsid w:val="00A030CC"/>
    <w:rsid w:val="00A30991"/>
    <w:rsid w:val="00A33E86"/>
    <w:rsid w:val="00A43000"/>
    <w:rsid w:val="00A57342"/>
    <w:rsid w:val="00A578BC"/>
    <w:rsid w:val="00A66F36"/>
    <w:rsid w:val="00A67CEA"/>
    <w:rsid w:val="00A71057"/>
    <w:rsid w:val="00A823D5"/>
    <w:rsid w:val="00A96BB5"/>
    <w:rsid w:val="00AA308E"/>
    <w:rsid w:val="00AB0295"/>
    <w:rsid w:val="00AB56DE"/>
    <w:rsid w:val="00AC59C4"/>
    <w:rsid w:val="00AD393E"/>
    <w:rsid w:val="00AF3184"/>
    <w:rsid w:val="00B01159"/>
    <w:rsid w:val="00B02322"/>
    <w:rsid w:val="00B1162B"/>
    <w:rsid w:val="00B1416F"/>
    <w:rsid w:val="00B1677C"/>
    <w:rsid w:val="00B24F5F"/>
    <w:rsid w:val="00B36017"/>
    <w:rsid w:val="00B37AEB"/>
    <w:rsid w:val="00B4190A"/>
    <w:rsid w:val="00B624EF"/>
    <w:rsid w:val="00B66113"/>
    <w:rsid w:val="00B7197A"/>
    <w:rsid w:val="00B732B8"/>
    <w:rsid w:val="00B77B86"/>
    <w:rsid w:val="00B81EC5"/>
    <w:rsid w:val="00B84447"/>
    <w:rsid w:val="00B9412D"/>
    <w:rsid w:val="00B9487A"/>
    <w:rsid w:val="00B961DD"/>
    <w:rsid w:val="00BA23C7"/>
    <w:rsid w:val="00BA2BAC"/>
    <w:rsid w:val="00BA4834"/>
    <w:rsid w:val="00BB2D7F"/>
    <w:rsid w:val="00BB3D14"/>
    <w:rsid w:val="00BB6C02"/>
    <w:rsid w:val="00BC3550"/>
    <w:rsid w:val="00BD3F80"/>
    <w:rsid w:val="00BE7022"/>
    <w:rsid w:val="00BF2D41"/>
    <w:rsid w:val="00BF427B"/>
    <w:rsid w:val="00C05CD8"/>
    <w:rsid w:val="00C06C3E"/>
    <w:rsid w:val="00C20D59"/>
    <w:rsid w:val="00C2145C"/>
    <w:rsid w:val="00C27EED"/>
    <w:rsid w:val="00C50CCB"/>
    <w:rsid w:val="00C53686"/>
    <w:rsid w:val="00C61DEA"/>
    <w:rsid w:val="00C6778A"/>
    <w:rsid w:val="00C74A5F"/>
    <w:rsid w:val="00C776B2"/>
    <w:rsid w:val="00C91AB2"/>
    <w:rsid w:val="00CA7932"/>
    <w:rsid w:val="00CB0054"/>
    <w:rsid w:val="00CC45A6"/>
    <w:rsid w:val="00CD2CB0"/>
    <w:rsid w:val="00CE07E7"/>
    <w:rsid w:val="00CE081A"/>
    <w:rsid w:val="00CF2EA4"/>
    <w:rsid w:val="00D003D6"/>
    <w:rsid w:val="00D004B1"/>
    <w:rsid w:val="00D005EA"/>
    <w:rsid w:val="00D1405D"/>
    <w:rsid w:val="00D17353"/>
    <w:rsid w:val="00D34C4E"/>
    <w:rsid w:val="00D4410D"/>
    <w:rsid w:val="00D6284E"/>
    <w:rsid w:val="00D62FA8"/>
    <w:rsid w:val="00D710A3"/>
    <w:rsid w:val="00D816BF"/>
    <w:rsid w:val="00D92C0A"/>
    <w:rsid w:val="00DA4B55"/>
    <w:rsid w:val="00DB1D51"/>
    <w:rsid w:val="00DC40C2"/>
    <w:rsid w:val="00DE6D08"/>
    <w:rsid w:val="00E0632A"/>
    <w:rsid w:val="00E06FD4"/>
    <w:rsid w:val="00E10404"/>
    <w:rsid w:val="00E10645"/>
    <w:rsid w:val="00E13D30"/>
    <w:rsid w:val="00E149DD"/>
    <w:rsid w:val="00E14C48"/>
    <w:rsid w:val="00E17371"/>
    <w:rsid w:val="00E21CE8"/>
    <w:rsid w:val="00E21D2B"/>
    <w:rsid w:val="00E2292C"/>
    <w:rsid w:val="00E25D65"/>
    <w:rsid w:val="00E330BC"/>
    <w:rsid w:val="00E3495B"/>
    <w:rsid w:val="00E36B97"/>
    <w:rsid w:val="00E5647B"/>
    <w:rsid w:val="00E612C9"/>
    <w:rsid w:val="00E63D0F"/>
    <w:rsid w:val="00E667BD"/>
    <w:rsid w:val="00E85411"/>
    <w:rsid w:val="00E861DA"/>
    <w:rsid w:val="00E94207"/>
    <w:rsid w:val="00EB1E2E"/>
    <w:rsid w:val="00EB2B58"/>
    <w:rsid w:val="00EB7EAE"/>
    <w:rsid w:val="00EC656B"/>
    <w:rsid w:val="00EE1F98"/>
    <w:rsid w:val="00EE4495"/>
    <w:rsid w:val="00EE7861"/>
    <w:rsid w:val="00EF373F"/>
    <w:rsid w:val="00EF745A"/>
    <w:rsid w:val="00F00782"/>
    <w:rsid w:val="00F06E64"/>
    <w:rsid w:val="00F43F13"/>
    <w:rsid w:val="00F579F1"/>
    <w:rsid w:val="00F60379"/>
    <w:rsid w:val="00F66AC2"/>
    <w:rsid w:val="00F8214F"/>
    <w:rsid w:val="00F85063"/>
    <w:rsid w:val="00F92CE1"/>
    <w:rsid w:val="00F93742"/>
    <w:rsid w:val="00F96414"/>
    <w:rsid w:val="00F96CDB"/>
    <w:rsid w:val="00FA0D6E"/>
    <w:rsid w:val="00FC0DA6"/>
    <w:rsid w:val="00FC2E76"/>
    <w:rsid w:val="00FC2F4E"/>
    <w:rsid w:val="00FC3CE3"/>
    <w:rsid w:val="00FC50D5"/>
    <w:rsid w:val="00FD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F4CA3C2"/>
  <w15:docId w15:val="{97B605A7-4BA3-411E-B005-0C1C821C7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1EC5"/>
    <w:pPr>
      <w:widowControl w:val="0"/>
      <w:autoSpaceDE w:val="0"/>
      <w:autoSpaceDN w:val="0"/>
      <w:adjustRightInd w:val="0"/>
    </w:pPr>
    <w:rPr>
      <w:rFonts w:ascii="Courier" w:hAnsi="Courier"/>
      <w:color w:val="000000"/>
    </w:rPr>
  </w:style>
  <w:style w:type="paragraph" w:styleId="Heading1">
    <w:name w:val="heading 1"/>
    <w:basedOn w:val="Normal"/>
    <w:next w:val="Normal"/>
    <w:qFormat/>
    <w:rsid w:val="00B81EC5"/>
    <w:pPr>
      <w:keepNext/>
      <w:widowControl/>
      <w:ind w:left="360" w:right="-1408"/>
      <w:outlineLvl w:val="0"/>
    </w:pPr>
    <w:rPr>
      <w:b/>
      <w:b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ell">
    <w:name w:val="Cell"/>
    <w:basedOn w:val="Normal"/>
    <w:rsid w:val="00B81EC5"/>
  </w:style>
  <w:style w:type="paragraph" w:customStyle="1" w:styleId="Footnote">
    <w:name w:val="Footnote"/>
    <w:basedOn w:val="Normal"/>
    <w:rsid w:val="00B81EC5"/>
  </w:style>
  <w:style w:type="paragraph" w:customStyle="1" w:styleId="HdrFtr">
    <w:name w:val="HdrFtr"/>
    <w:basedOn w:val="Normal"/>
    <w:rsid w:val="00B81EC5"/>
    <w:pPr>
      <w:tabs>
        <w:tab w:val="center" w:pos="5040"/>
        <w:tab w:val="right" w:pos="10080"/>
        <w:tab w:val="right" w:pos="13680"/>
      </w:tabs>
    </w:pPr>
  </w:style>
  <w:style w:type="paragraph" w:customStyle="1" w:styleId="htmlhyperlinktext">
    <w:name w:val="html_hyperlink_text"/>
    <w:basedOn w:val="Normal"/>
    <w:rsid w:val="00B81EC5"/>
    <w:rPr>
      <w:color w:val="0000FF"/>
      <w:u w:val="single"/>
    </w:rPr>
  </w:style>
  <w:style w:type="paragraph" w:styleId="BlockText">
    <w:name w:val="Block Text"/>
    <w:basedOn w:val="Normal"/>
    <w:rsid w:val="00B81EC5"/>
    <w:pPr>
      <w:widowControl/>
      <w:ind w:left="180" w:right="180"/>
    </w:pPr>
    <w:rPr>
      <w:noProof/>
      <w:sz w:val="16"/>
      <w:szCs w:val="16"/>
    </w:rPr>
  </w:style>
  <w:style w:type="paragraph" w:styleId="ListParagraph">
    <w:name w:val="List Paragraph"/>
    <w:basedOn w:val="Normal"/>
    <w:uiPriority w:val="34"/>
    <w:qFormat/>
    <w:rsid w:val="00D004B1"/>
    <w:pPr>
      <w:widowControl/>
      <w:autoSpaceDE/>
      <w:autoSpaceDN/>
      <w:adjustRightInd/>
      <w:ind w:left="720"/>
    </w:pPr>
    <w:rPr>
      <w:rFonts w:ascii="Calibri" w:eastAsiaTheme="minorHAnsi" w:hAnsi="Calibri" w:cs="Calibri"/>
      <w:color w:val="auto"/>
      <w:sz w:val="22"/>
      <w:szCs w:val="22"/>
    </w:rPr>
  </w:style>
  <w:style w:type="paragraph" w:styleId="Footer">
    <w:name w:val="footer"/>
    <w:basedOn w:val="Normal"/>
    <w:link w:val="FooterChar"/>
    <w:rsid w:val="00B1677C"/>
    <w:pPr>
      <w:widowControl/>
      <w:tabs>
        <w:tab w:val="center" w:pos="4320"/>
        <w:tab w:val="right" w:pos="8640"/>
      </w:tabs>
      <w:autoSpaceDE/>
      <w:autoSpaceDN/>
      <w:adjustRightInd/>
    </w:pPr>
    <w:rPr>
      <w:rFonts w:ascii="Arial" w:hAnsi="Arial" w:cs="Arial"/>
      <w:snapToGrid w:val="0"/>
      <w:color w:val="auto"/>
    </w:rPr>
  </w:style>
  <w:style w:type="character" w:customStyle="1" w:styleId="FooterChar">
    <w:name w:val="Footer Char"/>
    <w:basedOn w:val="DefaultParagraphFont"/>
    <w:link w:val="Footer"/>
    <w:rsid w:val="00B1677C"/>
    <w:rPr>
      <w:rFonts w:ascii="Arial" w:hAnsi="Arial" w:cs="Arial"/>
      <w:snapToGrid w:val="0"/>
    </w:rPr>
  </w:style>
  <w:style w:type="paragraph" w:customStyle="1" w:styleId="axNormal">
    <w:name w:val="axNormal"/>
    <w:link w:val="axNormalChar"/>
    <w:rsid w:val="00B1677C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</w:pPr>
    <w:rPr>
      <w:rFonts w:ascii="Times" w:hAnsi="Times" w:cs="Times"/>
      <w:noProof/>
      <w:color w:val="000000"/>
      <w:sz w:val="24"/>
      <w:szCs w:val="24"/>
    </w:rPr>
  </w:style>
  <w:style w:type="character" w:customStyle="1" w:styleId="axNormalChar">
    <w:name w:val="axNormal Char"/>
    <w:basedOn w:val="DefaultParagraphFont"/>
    <w:link w:val="axNormal"/>
    <w:rsid w:val="00B1677C"/>
    <w:rPr>
      <w:rFonts w:ascii="Times" w:hAnsi="Times" w:cs="Times"/>
      <w:noProof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140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1405D"/>
    <w:rPr>
      <w:rFonts w:ascii="Segoe UI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rsid w:val="00363F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F56"/>
    <w:rPr>
      <w:rFonts w:ascii="Courier" w:hAnsi="Courie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1478</Words>
  <Characters>7487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ax2170af.aw</vt:lpstr>
    </vt:vector>
  </TitlesOfParts>
  <Company>USDA Forest Service</Company>
  <LinksUpToDate>false</LinksUpToDate>
  <CharactersWithSpaces>8948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ax2170af.aw</dc:title>
  <dc:subject/>
  <dc:creator>ggire</dc:creator>
  <cp:keywords/>
  <dc:description/>
  <cp:lastModifiedBy>Marin Chambers</cp:lastModifiedBy>
  <cp:revision>2</cp:revision>
  <cp:lastPrinted>2018-07-12T21:48:00Z</cp:lastPrinted>
  <dcterms:created xsi:type="dcterms:W3CDTF">2018-09-20T17:26:00Z</dcterms:created>
  <dcterms:modified xsi:type="dcterms:W3CDTF">2018-09-20T17:26:00Z</dcterms:modified>
</cp:coreProperties>
</file>