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ED3B" w14:textId="77777777" w:rsidR="009678FE" w:rsidRDefault="009678FE">
      <w:pPr>
        <w:widowControl/>
        <w:jc w:val="center"/>
      </w:pPr>
      <w:bookmarkStart w:id="0" w:name="_GoBack"/>
      <w:bookmarkEnd w:id="0"/>
    </w:p>
    <w:tbl>
      <w:tblPr>
        <w:tblW w:w="14462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3374"/>
        <w:gridCol w:w="2520"/>
        <w:gridCol w:w="4590"/>
      </w:tblGrid>
      <w:tr w:rsidR="00336A4D" w:rsidRPr="00C91AB2" w14:paraId="4F25C29E" w14:textId="77777777" w:rsidTr="009254AB">
        <w:trPr>
          <w:trHeight w:val="378"/>
        </w:trPr>
        <w:tc>
          <w:tcPr>
            <w:tcW w:w="73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AE53" w14:textId="126AF3B8" w:rsidR="00336A4D" w:rsidRPr="00C91AB2" w:rsidRDefault="007744AB" w:rsidP="00C15E7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="00600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F2 Unit </w:t>
            </w:r>
            <w:r w:rsidR="00C15E7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107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3895">
              <w:rPr>
                <w:rFonts w:ascii="Times New Roman" w:hAnsi="Times New Roman"/>
                <w:b/>
                <w:bCs/>
                <w:sz w:val="24"/>
                <w:szCs w:val="24"/>
              </w:rPr>
              <w:t>PRESCRIPTION &amp; IMPLEMENTATION GUIDE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238157" w14:textId="7A7D77B8" w:rsidR="00336A4D" w:rsidRPr="002A2290" w:rsidRDefault="00E25D65" w:rsidP="0080133A">
            <w:pPr>
              <w:widowControl/>
              <w:ind w:left="140" w:right="1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>WRITTEN</w:t>
            </w:r>
            <w:r w:rsidR="00336A4D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06E64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and CERTIFIED </w:t>
            </w:r>
            <w:r w:rsidR="00336A4D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BY:  </w:t>
            </w:r>
            <w:r w:rsidR="00547668" w:rsidRPr="002A2290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K. Zimlinghaus</w:t>
            </w:r>
            <w:r w:rsidR="00FC3CE3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 xml:space="preserve">  </w:t>
            </w:r>
            <w:r w:rsidR="00C966A8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10/</w:t>
            </w:r>
            <w:r w:rsidR="0080133A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31</w:t>
            </w:r>
            <w:r w:rsidR="008A3A70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/</w:t>
            </w:r>
            <w:r w:rsidR="00FC3CE3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2018</w:t>
            </w:r>
          </w:p>
        </w:tc>
      </w:tr>
      <w:tr w:rsidR="002A2290" w:rsidRPr="00C91AB2" w14:paraId="26126F36" w14:textId="77777777" w:rsidTr="009254AB">
        <w:trPr>
          <w:trHeight w:val="435"/>
        </w:trPr>
        <w:tc>
          <w:tcPr>
            <w:tcW w:w="3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D854" w14:textId="1D72A6E4" w:rsidR="002A2290" w:rsidRDefault="0010475A" w:rsidP="006F3895">
            <w:pPr>
              <w:widowControl/>
              <w:ind w:left="90" w:right="-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A2290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ENVIRONMENTAL ANALYSIS:</w:t>
            </w:r>
            <w:r w:rsidR="002A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A80355" w14:textId="534BED13" w:rsidR="002A2290" w:rsidRPr="00C91AB2" w:rsidRDefault="002A2290" w:rsidP="006F3895">
            <w:pPr>
              <w:pStyle w:val="Heading1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Forsythe II</w:t>
            </w:r>
            <w:r w:rsidRPr="00C9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Project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CF36" w14:textId="5AF89A27" w:rsidR="002A2290" w:rsidRPr="00C91AB2" w:rsidRDefault="002A2290" w:rsidP="00380F7B">
            <w:pPr>
              <w:widowControl/>
              <w:ind w:left="360" w:righ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DECISION DATE: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0/20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4AE643" w14:textId="49CEEF98" w:rsidR="002A2290" w:rsidRPr="00E612C9" w:rsidRDefault="002A2290" w:rsidP="006F3895">
            <w:pPr>
              <w:widowControl/>
              <w:ind w:left="180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NEPA ACRES: </w:t>
            </w:r>
            <w:r w:rsidR="00C02A2B" w:rsidRPr="00C02A2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</w:p>
          <w:p w14:paraId="29C3B748" w14:textId="5C008AD8" w:rsidR="00E612C9" w:rsidRDefault="00E612C9" w:rsidP="00C02A2B">
            <w:pPr>
              <w:widowControl/>
              <w:ind w:left="180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2C9">
              <w:rPr>
                <w:rFonts w:ascii="Times New Roman" w:hAnsi="Times New Roman"/>
                <w:b/>
                <w:bCs/>
                <w:sz w:val="24"/>
                <w:szCs w:val="24"/>
              </w:rPr>
              <w:t>GIS ACRES:</w:t>
            </w:r>
            <w:r w:rsidRPr="00E612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02A2B" w:rsidRPr="00C02A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.97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DE23DC" w14:textId="65CDA1BD" w:rsidR="002A2290" w:rsidRPr="00C91AB2" w:rsidRDefault="00E612C9" w:rsidP="004D66CA">
            <w:pPr>
              <w:widowControl/>
              <w:ind w:left="180"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BASE FISCAL YEAR: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1A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66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457FC" w:rsidRPr="00C91AB2" w14:paraId="47FA3AF1" w14:textId="77777777" w:rsidTr="009254AB">
        <w:trPr>
          <w:cantSplit/>
          <w:trHeight w:val="278"/>
        </w:trPr>
        <w:tc>
          <w:tcPr>
            <w:tcW w:w="73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DCDC37" w14:textId="6ED55EBE" w:rsidR="007457FC" w:rsidRPr="0045737A" w:rsidRDefault="007457FC" w:rsidP="00E612C9">
            <w:pPr>
              <w:widowControl/>
              <w:ind w:left="152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73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EXISTING HSS: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3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  <w:r w:rsidR="006A2C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02A2B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  <w:r w:rsidR="0032056E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  <w:p w14:paraId="0B8560AA" w14:textId="624FEAC0" w:rsidR="007457FC" w:rsidRPr="003F423D" w:rsidRDefault="007457FC" w:rsidP="00C02A2B">
            <w:pPr>
              <w:widowControl/>
              <w:ind w:left="152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F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DESIRED HSS: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94207"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6A2C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2T </w:t>
            </w:r>
            <w:r w:rsidR="00C02A2B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="00325E1D" w:rsidRPr="00792F7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FE4541"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6A2C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 </w:t>
            </w:r>
            <w:r w:rsidR="00C02A2B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  <w:r w:rsidR="00E70D4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637E8A" w14:textId="698C652D" w:rsidR="00C6778A" w:rsidRPr="003F423D" w:rsidRDefault="00C6778A" w:rsidP="00E94207">
            <w:pPr>
              <w:widowControl/>
              <w:ind w:left="108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612C9" w:rsidRPr="00C91AB2" w14:paraId="61B7569D" w14:textId="77777777" w:rsidTr="009254AB">
        <w:trPr>
          <w:trHeight w:val="327"/>
        </w:trPr>
        <w:tc>
          <w:tcPr>
            <w:tcW w:w="98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87D0B" w14:textId="784CDB6C" w:rsidR="00E612C9" w:rsidRPr="003F423D" w:rsidRDefault="00E612C9" w:rsidP="00E612C9">
            <w:pPr>
              <w:widowControl/>
              <w:ind w:left="152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423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COVER TYPE: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Existing Overstory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L</w:t>
            </w:r>
            <w:r w:rsidR="005D23B7">
              <w:rPr>
                <w:rFonts w:ascii="Times New Roman" w:hAnsi="Times New Roman"/>
                <w:color w:val="auto"/>
                <w:sz w:val="24"/>
                <w:szCs w:val="24"/>
              </w:rPr>
              <w:t>PP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155D9">
              <w:rPr>
                <w:rFonts w:ascii="Times New Roman" w:hAnsi="Times New Roman"/>
                <w:color w:val="auto"/>
                <w:sz w:val="24"/>
                <w:szCs w:val="24"/>
              </w:rPr>
              <w:t>65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</w:t>
            </w:r>
            <w:r w:rsidR="00C02A2B">
              <w:rPr>
                <w:rFonts w:ascii="Times New Roman" w:hAnsi="Times New Roman"/>
                <w:color w:val="auto"/>
                <w:sz w:val="24"/>
                <w:szCs w:val="24"/>
              </w:rPr>
              <w:t>LM</w:t>
            </w:r>
            <w:r w:rsidR="006A2C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02A2B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  <w:r w:rsidR="006A2CBA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0155D9">
              <w:rPr>
                <w:rFonts w:ascii="Times New Roman" w:hAnsi="Times New Roman"/>
                <w:color w:val="auto"/>
                <w:sz w:val="24"/>
                <w:szCs w:val="24"/>
              </w:rPr>
              <w:t>; AS 10%</w:t>
            </w:r>
          </w:p>
          <w:p w14:paraId="38243614" w14:textId="3F2CD069" w:rsidR="00E612C9" w:rsidRPr="003F423D" w:rsidRDefault="00E612C9" w:rsidP="000155D9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Desired Overstory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LPP </w:t>
            </w:r>
            <w:r w:rsidR="000155D9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</w:t>
            </w:r>
            <w:r w:rsidR="00C02A2B">
              <w:rPr>
                <w:rFonts w:ascii="Times New Roman" w:hAnsi="Times New Roman"/>
                <w:color w:val="auto"/>
                <w:sz w:val="24"/>
                <w:szCs w:val="24"/>
              </w:rPr>
              <w:t>LM 25%</w:t>
            </w:r>
            <w:r w:rsidR="000155D9">
              <w:rPr>
                <w:rFonts w:ascii="Times New Roman" w:hAnsi="Times New Roman"/>
                <w:color w:val="auto"/>
                <w:sz w:val="24"/>
                <w:szCs w:val="24"/>
              </w:rPr>
              <w:t>; AS 15%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EAD4F3" w14:textId="159013CC" w:rsidR="00E612C9" w:rsidRPr="00526963" w:rsidRDefault="00E612C9" w:rsidP="00E612C9">
            <w:pPr>
              <w:widowControl/>
              <w:ind w:left="180" w:right="18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</w:t>
            </w:r>
            <w:r w:rsidR="009254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XISTING BASAL AREA</w:t>
            </w:r>
            <w:r w:rsidR="006A2C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9254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=</w:t>
            </w:r>
            <w:r w:rsidR="006A2C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C02A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ft</w:t>
            </w:r>
            <w:r w:rsidR="0080133A">
              <w:rPr>
                <w:rFonts w:ascii="Times New Roman" w:hAnsi="Times New Roman"/>
                <w:b/>
                <w:color w:val="auto"/>
                <w:sz w:val="24"/>
                <w:szCs w:val="24"/>
                <w:vertAlign w:val="superscript"/>
              </w:rPr>
              <w:t>2</w:t>
            </w: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/ac </w:t>
            </w:r>
          </w:p>
          <w:p w14:paraId="603B65A5" w14:textId="6979B814" w:rsidR="00E612C9" w:rsidRPr="00585521" w:rsidRDefault="009254AB" w:rsidP="00835D75">
            <w:pPr>
              <w:widowControl/>
              <w:ind w:left="180"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DESIRED BASAL AREA</w:t>
            </w:r>
            <w:r w:rsidR="006A2C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=</w:t>
            </w:r>
            <w:r w:rsidR="006A2CB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835D75" w:rsidRPr="00C02A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75-80</w:t>
            </w:r>
            <w:r w:rsidR="00E612C9" w:rsidRPr="00C02A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ft</w:t>
            </w:r>
            <w:r w:rsidR="0080133A">
              <w:rPr>
                <w:rFonts w:ascii="Times New Roman" w:hAnsi="Times New Roman"/>
                <w:b/>
                <w:color w:val="auto"/>
                <w:sz w:val="24"/>
                <w:szCs w:val="24"/>
                <w:vertAlign w:val="superscript"/>
              </w:rPr>
              <w:t>2</w:t>
            </w:r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/ac</w:t>
            </w:r>
          </w:p>
        </w:tc>
      </w:tr>
      <w:tr w:rsidR="00A57342" w:rsidRPr="00C91AB2" w14:paraId="0D1E0DD8" w14:textId="77777777" w:rsidTr="009254AB">
        <w:trPr>
          <w:trHeight w:val="327"/>
        </w:trPr>
        <w:tc>
          <w:tcPr>
            <w:tcW w:w="14462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45013" w14:textId="7B70ABE3" w:rsidR="00E612C9" w:rsidRPr="00CA7C9D" w:rsidRDefault="00E612C9" w:rsidP="001B40EE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7C9D">
              <w:rPr>
                <w:rFonts w:ascii="Times New Roman" w:hAnsi="Times New Roman"/>
                <w:color w:val="auto"/>
                <w:sz w:val="24"/>
                <w:szCs w:val="24"/>
              </w:rPr>
              <w:t>Existing Condition</w:t>
            </w:r>
          </w:p>
          <w:p w14:paraId="0223FB8F" w14:textId="04AB51C3" w:rsidR="00A57342" w:rsidRPr="005D23B7" w:rsidRDefault="00C02A2B" w:rsidP="001B40EE">
            <w:pPr>
              <w:widowControl/>
              <w:ind w:left="180" w:right="1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 this even-aged unit, l</w:t>
            </w:r>
            <w:r w:rsidR="00835D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odgepole pine is the dominant species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mixed with a few limber pine on rockier soils. </w:t>
            </w:r>
            <w:r w:rsidR="0071104E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unit is </w:t>
            </w:r>
            <w:r w:rsidR="007110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located on a north slope </w:t>
            </w:r>
            <w:r w:rsidR="0071104E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with a canopy cover between </w:t>
            </w:r>
            <w:r w:rsidR="0071104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1104E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0-</w:t>
            </w:r>
            <w:r w:rsidR="0071104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71104E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0%.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>Trees range in size from 2’</w:t>
            </w:r>
            <w:r w:rsidR="00C304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tall to 12” DBH with the majority ranging 5”-8” DBH. A small aspen clone (&lt; .5 ac in size) on the northwest end of the unit is slowly </w:t>
            </w:r>
            <w:r w:rsidR="000155D9">
              <w:rPr>
                <w:rFonts w:ascii="Times New Roman" w:hAnsi="Times New Roman"/>
                <w:color w:val="auto"/>
                <w:sz w:val="24"/>
                <w:szCs w:val="24"/>
              </w:rPr>
              <w:t>succumbing to conifer encroachment.</w:t>
            </w:r>
            <w:r w:rsidR="00C304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E6E22">
              <w:rPr>
                <w:rFonts w:ascii="Times New Roman" w:hAnsi="Times New Roman"/>
                <w:color w:val="auto"/>
                <w:sz w:val="24"/>
                <w:szCs w:val="24"/>
              </w:rPr>
              <w:t>Minor incidences of dwarf mistletoe are present, but localized.</w:t>
            </w:r>
          </w:p>
          <w:p w14:paraId="2C7F0C24" w14:textId="77777777" w:rsidR="00E612C9" w:rsidRPr="00E612C9" w:rsidRDefault="00E612C9" w:rsidP="00F06E64">
            <w:pPr>
              <w:widowControl/>
              <w:ind w:left="180" w:right="18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14:paraId="2101917A" w14:textId="5436CB56" w:rsidR="00E612C9" w:rsidRPr="00010BD1" w:rsidRDefault="00E612C9" w:rsidP="00F06E64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color w:val="auto"/>
                <w:sz w:val="24"/>
                <w:szCs w:val="24"/>
              </w:rPr>
              <w:t>Desired Condition</w:t>
            </w:r>
          </w:p>
          <w:p w14:paraId="20D235C0" w14:textId="275DA13A" w:rsidR="00A030CC" w:rsidRPr="00466C80" w:rsidRDefault="00A030CC" w:rsidP="00F06E64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6C80">
              <w:rPr>
                <w:rFonts w:ascii="Times New Roman" w:hAnsi="Times New Roman"/>
                <w:color w:val="auto"/>
                <w:sz w:val="24"/>
                <w:szCs w:val="24"/>
              </w:rPr>
              <w:t>The</w:t>
            </w:r>
            <w:r w:rsidR="00C237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desired stand conditions would include patches of varying seral stages distributed across the </w:t>
            </w:r>
            <w:r w:rsidR="000155D9">
              <w:rPr>
                <w:rFonts w:ascii="Times New Roman" w:hAnsi="Times New Roman"/>
                <w:color w:val="auto"/>
                <w:sz w:val="24"/>
                <w:szCs w:val="24"/>
              </w:rPr>
              <w:t>unit</w:t>
            </w:r>
            <w:r w:rsidR="00C237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The heterogeneous pattern of lodgepole pine stands would exhibit patches of even-aged stands </w:t>
            </w:r>
            <w:r w:rsidR="000155D9">
              <w:rPr>
                <w:rFonts w:ascii="Times New Roman" w:hAnsi="Times New Roman"/>
                <w:color w:val="auto"/>
                <w:sz w:val="24"/>
                <w:szCs w:val="24"/>
              </w:rPr>
              <w:t>to</w:t>
            </w:r>
            <w:r w:rsidR="00C237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provide a discontinuous crown level that provides a greater resiliency to large natural disturbances. Some of these patches would have other conifer species and aspen mixed </w:t>
            </w:r>
            <w:r w:rsidR="0071104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in </w:t>
            </w:r>
            <w:r w:rsidR="00C237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with the dominant lodgepole pine stand. </w:t>
            </w:r>
            <w:r w:rsidR="00365047" w:rsidRPr="00652F1E">
              <w:rPr>
                <w:rFonts w:ascii="Times New Roman" w:hAnsi="Times New Roman"/>
                <w:sz w:val="24"/>
                <w:szCs w:val="24"/>
              </w:rPr>
              <w:t xml:space="preserve">Healthy aspen clones would range from </w:t>
            </w:r>
            <w:r w:rsidR="000155D9"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r w:rsidR="00365047" w:rsidRPr="00652F1E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0155D9">
              <w:rPr>
                <w:rFonts w:ascii="Times New Roman" w:hAnsi="Times New Roman"/>
                <w:sz w:val="24"/>
                <w:szCs w:val="24"/>
              </w:rPr>
              <w:t>1</w:t>
            </w:r>
            <w:r w:rsidR="00365047" w:rsidRPr="00652F1E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0155D9">
              <w:rPr>
                <w:rFonts w:ascii="Times New Roman" w:hAnsi="Times New Roman"/>
                <w:sz w:val="24"/>
                <w:szCs w:val="24"/>
              </w:rPr>
              <w:t>cre</w:t>
            </w:r>
            <w:r w:rsidR="00365047" w:rsidRPr="00652F1E">
              <w:rPr>
                <w:rFonts w:ascii="Times New Roman" w:hAnsi="Times New Roman"/>
                <w:sz w:val="24"/>
                <w:szCs w:val="24"/>
              </w:rPr>
              <w:t xml:space="preserve"> in size and would be free of conifer encroachment</w:t>
            </w:r>
            <w:r w:rsidR="00C17B3C">
              <w:rPr>
                <w:rFonts w:ascii="Times New Roman" w:hAnsi="Times New Roman"/>
                <w:sz w:val="24"/>
                <w:szCs w:val="24"/>
              </w:rPr>
              <w:t xml:space="preserve"> while providing cavity-nesting habitat for specific bird species</w:t>
            </w:r>
            <w:r w:rsidR="00365047" w:rsidRPr="00652F1E">
              <w:rPr>
                <w:rFonts w:ascii="Times New Roman" w:hAnsi="Times New Roman"/>
                <w:sz w:val="24"/>
                <w:szCs w:val="24"/>
              </w:rPr>
              <w:t>.</w:t>
            </w:r>
            <w:r w:rsidR="00365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5D9" w:rsidRPr="000155D9">
              <w:rPr>
                <w:rFonts w:ascii="Times New Roman" w:hAnsi="Times New Roman"/>
                <w:b/>
                <w:sz w:val="24"/>
                <w:szCs w:val="24"/>
              </w:rPr>
              <w:t xml:space="preserve">The aspen aggregation is less than ½ acre so it cannot be treated per the decision. </w:t>
            </w:r>
            <w:r w:rsidR="00365047" w:rsidRPr="00652F1E">
              <w:rPr>
                <w:rFonts w:ascii="Times New Roman" w:hAnsi="Times New Roman"/>
                <w:sz w:val="24"/>
                <w:szCs w:val="24"/>
              </w:rPr>
              <w:t xml:space="preserve">Insects and diseases are kept at endemic and manageable levels.  </w:t>
            </w:r>
          </w:p>
          <w:p w14:paraId="3B64D799" w14:textId="77777777" w:rsidR="00286FDF" w:rsidRDefault="00286FDF" w:rsidP="00F06E64">
            <w:pPr>
              <w:widowControl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</w:p>
          <w:p w14:paraId="5CBE32E8" w14:textId="77777777" w:rsidR="00C05CD8" w:rsidRPr="00010BD1" w:rsidRDefault="00C05CD8" w:rsidP="00C05CD8">
            <w:pPr>
              <w:ind w:left="242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color w:val="auto"/>
                <w:sz w:val="24"/>
                <w:szCs w:val="24"/>
              </w:rPr>
              <w:t>Objectives</w:t>
            </w:r>
          </w:p>
          <w:p w14:paraId="07B3D337" w14:textId="77777777" w:rsidR="00C05CD8" w:rsidRPr="00010BD1" w:rsidRDefault="00C05CD8" w:rsidP="00C05CD8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sz w:val="24"/>
                <w:szCs w:val="24"/>
              </w:rPr>
              <w:t>Reduce the severity and intensity of a wildfire within the WUI.</w:t>
            </w:r>
          </w:p>
          <w:p w14:paraId="12BF8079" w14:textId="17A40313" w:rsidR="00010BD1" w:rsidRPr="00C23793" w:rsidRDefault="00C23793" w:rsidP="00C23793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Emulate natural disturbance at a minor scale in lodgepole pine dominated stands to mimic variable structural and spatial patterns in order to increase resistance and resiliency to future natural disturbances.</w:t>
            </w:r>
          </w:p>
          <w:p w14:paraId="1C2A89C0" w14:textId="77777777" w:rsidR="00BB2D7F" w:rsidRPr="005D23B7" w:rsidRDefault="00BB2D7F" w:rsidP="00BB2D7F">
            <w:pPr>
              <w:ind w:left="242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037F0CF" w14:textId="20E2B949" w:rsidR="00286FDF" w:rsidRPr="007D3097" w:rsidRDefault="00BB2D7F" w:rsidP="00C23793">
            <w:pPr>
              <w:ind w:left="2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E6">
              <w:rPr>
                <w:rFonts w:ascii="Times New Roman" w:hAnsi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This unit will be manually cut and the slash w</w:t>
            </w:r>
            <w:r w:rsidR="009254AB">
              <w:rPr>
                <w:rFonts w:ascii="Times New Roman" w:hAnsi="Times New Roman"/>
                <w:sz w:val="24"/>
                <w:szCs w:val="24"/>
              </w:rPr>
              <w:t>ould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r w:rsidR="005D23B7">
              <w:rPr>
                <w:rFonts w:ascii="Times New Roman" w:hAnsi="Times New Roman"/>
                <w:sz w:val="24"/>
                <w:szCs w:val="24"/>
              </w:rPr>
              <w:t>hand piled and burned.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1829F8C" w14:textId="77777777" w:rsidR="009678FE" w:rsidRPr="004158F7" w:rsidRDefault="009678FE">
      <w:pPr>
        <w:widowControl/>
        <w:rPr>
          <w:rFonts w:asciiTheme="minorHAnsi" w:hAnsiTheme="minorHAnsi"/>
          <w:sz w:val="24"/>
          <w:szCs w:val="24"/>
        </w:rPr>
      </w:pP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</w:p>
    <w:tbl>
      <w:tblPr>
        <w:tblW w:w="14500" w:type="dxa"/>
        <w:tblInd w:w="-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080"/>
        <w:gridCol w:w="766"/>
        <w:gridCol w:w="10710"/>
      </w:tblGrid>
      <w:tr w:rsidR="008E4A2F" w:rsidRPr="00C91AB2" w14:paraId="27CDE48A" w14:textId="77777777" w:rsidTr="00D9524F">
        <w:tc>
          <w:tcPr>
            <w:tcW w:w="1944" w:type="dxa"/>
            <w:vAlign w:val="center"/>
          </w:tcPr>
          <w:p w14:paraId="1B2FA7E3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80" w:type="dxa"/>
            <w:vAlign w:val="center"/>
          </w:tcPr>
          <w:p w14:paraId="0E4863C5" w14:textId="77777777" w:rsidR="008E4A2F" w:rsidRPr="00C91AB2" w:rsidRDefault="00C91AB2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  <w:r w:rsidR="008E4A2F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14:paraId="0A2827CE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</w:t>
            </w:r>
          </w:p>
        </w:tc>
        <w:tc>
          <w:tcPr>
            <w:tcW w:w="10710" w:type="dxa"/>
            <w:vAlign w:val="center"/>
          </w:tcPr>
          <w:p w14:paraId="418BB5E5" w14:textId="77777777" w:rsidR="008E4A2F" w:rsidRPr="00C91AB2" w:rsidRDefault="008E4A2F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DESCRIPTION, MARKING GUIDES, MONITORING, ETC. </w:t>
            </w:r>
          </w:p>
        </w:tc>
      </w:tr>
      <w:tr w:rsidR="002A31AE" w:rsidRPr="00C91AB2" w14:paraId="383131AC" w14:textId="77777777" w:rsidTr="00D9524F">
        <w:tc>
          <w:tcPr>
            <w:tcW w:w="1944" w:type="dxa"/>
            <w:vAlign w:val="center"/>
          </w:tcPr>
          <w:p w14:paraId="0ED78408" w14:textId="335BC3DC" w:rsidR="00690587" w:rsidRPr="00C91AB2" w:rsidRDefault="00C23793" w:rsidP="0069058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Lodgepole Pine Treatment</w:t>
            </w:r>
          </w:p>
          <w:p w14:paraId="20C54D83" w14:textId="58288EA8" w:rsidR="002A31AE" w:rsidRPr="00C91AB2" w:rsidRDefault="002A31AE" w:rsidP="007576CD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C3B6A17" w14:textId="463BF566" w:rsidR="002A31AE" w:rsidRPr="00C91AB2" w:rsidRDefault="0032053D" w:rsidP="00D333FA">
            <w:pPr>
              <w:widowControl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33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vAlign w:val="center"/>
          </w:tcPr>
          <w:p w14:paraId="1E61C37B" w14:textId="720B3541" w:rsidR="002A31AE" w:rsidRPr="000155D9" w:rsidRDefault="000155D9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55D9">
              <w:rPr>
                <w:rFonts w:ascii="Times New Roman" w:hAnsi="Times New Roman"/>
                <w:color w:val="auto"/>
                <w:sz w:val="24"/>
                <w:szCs w:val="24"/>
              </w:rPr>
              <w:t>.97</w:t>
            </w:r>
          </w:p>
        </w:tc>
        <w:tc>
          <w:tcPr>
            <w:tcW w:w="10710" w:type="dxa"/>
            <w:vAlign w:val="center"/>
          </w:tcPr>
          <w:p w14:paraId="5A8FC3C2" w14:textId="704A05DC" w:rsidR="001C3A25" w:rsidRPr="000D49F5" w:rsidRDefault="001C3A25" w:rsidP="001C3A25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D49F5">
              <w:rPr>
                <w:rFonts w:ascii="Times New Roman" w:hAnsi="Times New Roman"/>
                <w:sz w:val="22"/>
                <w:szCs w:val="22"/>
                <w:u w:val="single"/>
              </w:rPr>
              <w:t>Cutting Guides</w:t>
            </w:r>
          </w:p>
          <w:p w14:paraId="605FB257" w14:textId="62E7653B" w:rsidR="00915678" w:rsidRPr="00FD1A2F" w:rsidRDefault="00915678" w:rsidP="004E7CC6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FD1A2F">
              <w:rPr>
                <w:rFonts w:ascii="Times New Roman" w:hAnsi="Times New Roman" w:cs="Times New Roman"/>
              </w:rPr>
              <w:t xml:space="preserve">Establish 1 to 2 patchcuts, ranging in </w:t>
            </w:r>
            <w:r w:rsidR="000155D9">
              <w:rPr>
                <w:rFonts w:ascii="Times New Roman" w:hAnsi="Times New Roman" w:cs="Times New Roman"/>
              </w:rPr>
              <w:t>.3</w:t>
            </w:r>
            <w:r w:rsidRPr="00FD1A2F">
              <w:rPr>
                <w:rFonts w:ascii="Times New Roman" w:hAnsi="Times New Roman" w:cs="Times New Roman"/>
              </w:rPr>
              <w:t>-</w:t>
            </w:r>
            <w:r w:rsidR="000155D9">
              <w:rPr>
                <w:rFonts w:ascii="Times New Roman" w:hAnsi="Times New Roman" w:cs="Times New Roman"/>
              </w:rPr>
              <w:t>1</w:t>
            </w:r>
            <w:r w:rsidRPr="00FD1A2F">
              <w:rPr>
                <w:rFonts w:ascii="Times New Roman" w:hAnsi="Times New Roman" w:cs="Times New Roman"/>
              </w:rPr>
              <w:t xml:space="preserve"> acres in size. </w:t>
            </w:r>
          </w:p>
          <w:p w14:paraId="6EF44FD8" w14:textId="15F67659" w:rsidR="00915678" w:rsidRPr="00FD1A2F" w:rsidRDefault="00915678" w:rsidP="004E7CC6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FD1A2F">
              <w:rPr>
                <w:rFonts w:ascii="Times New Roman" w:hAnsi="Times New Roman" w:cs="Times New Roman"/>
              </w:rPr>
              <w:t xml:space="preserve">Cut all live and dead lodgepole pine &gt; 2’ tall within the identified patchcut boundary. </w:t>
            </w:r>
          </w:p>
          <w:p w14:paraId="238B75C1" w14:textId="510B7F46" w:rsidR="00817F1C" w:rsidRPr="003E48C2" w:rsidRDefault="00915678" w:rsidP="003E48C2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FD1A2F">
              <w:rPr>
                <w:rFonts w:ascii="Times New Roman" w:hAnsi="Times New Roman" w:cs="Times New Roman"/>
              </w:rPr>
              <w:t>Retain all other healthy conifer species (&gt;30% live crown without signs of insects or disease) and aspen regardless of size.</w:t>
            </w:r>
          </w:p>
        </w:tc>
      </w:tr>
      <w:tr w:rsidR="001506FA" w:rsidRPr="00C91AB2" w14:paraId="030200F6" w14:textId="77777777" w:rsidTr="00D9524F">
        <w:tc>
          <w:tcPr>
            <w:tcW w:w="1944" w:type="dxa"/>
            <w:vAlign w:val="center"/>
          </w:tcPr>
          <w:p w14:paraId="176A9151" w14:textId="7A44C80A" w:rsidR="001506FA" w:rsidRPr="00C91AB2" w:rsidRDefault="001506FA" w:rsidP="00915678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Slash Treatment </w:t>
            </w:r>
          </w:p>
        </w:tc>
        <w:tc>
          <w:tcPr>
            <w:tcW w:w="1080" w:type="dxa"/>
            <w:vAlign w:val="center"/>
          </w:tcPr>
          <w:p w14:paraId="6E559369" w14:textId="7E1F302D" w:rsidR="001506FA" w:rsidRDefault="00EE6D78" w:rsidP="00D333FA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33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vAlign w:val="center"/>
          </w:tcPr>
          <w:p w14:paraId="64050BD1" w14:textId="775E137B" w:rsidR="001506FA" w:rsidRPr="000155D9" w:rsidRDefault="000155D9" w:rsidP="009C2D09">
            <w:pPr>
              <w:widowControl/>
              <w:ind w:left="180" w:right="18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55D9">
              <w:rPr>
                <w:rFonts w:ascii="Times New Roman" w:hAnsi="Times New Roman"/>
                <w:color w:val="auto"/>
                <w:sz w:val="24"/>
                <w:szCs w:val="24"/>
              </w:rPr>
              <w:t>.97</w:t>
            </w:r>
          </w:p>
        </w:tc>
        <w:tc>
          <w:tcPr>
            <w:tcW w:w="10710" w:type="dxa"/>
          </w:tcPr>
          <w:p w14:paraId="0996C9D2" w14:textId="26604830" w:rsidR="003E48C2" w:rsidRDefault="003E48C2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FD1A2F">
              <w:rPr>
                <w:rFonts w:ascii="Times New Roman" w:hAnsi="Times New Roman" w:cs="Times New Roman"/>
              </w:rPr>
              <w:t>Cut all of the limbs from the boles of cut trees to a 2” top.</w:t>
            </w:r>
          </w:p>
          <w:p w14:paraId="6029D271" w14:textId="77777777" w:rsidR="001506FA" w:rsidRPr="009D3BAC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Hand- pile </w:t>
            </w:r>
            <w:r>
              <w:rPr>
                <w:rFonts w:ascii="Times New Roman" w:hAnsi="Times New Roman" w:cs="Times New Roman"/>
              </w:rPr>
              <w:t xml:space="preserve">existing and </w:t>
            </w:r>
            <w:r w:rsidRPr="00BE7022">
              <w:rPr>
                <w:rFonts w:ascii="Times New Roman" w:hAnsi="Times New Roman" w:cs="Times New Roman"/>
              </w:rPr>
              <w:t xml:space="preserve">activity slash material 1” to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diameter and 2’ or longer.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BAC">
              <w:rPr>
                <w:rFonts w:ascii="Times New Roman" w:hAnsi="Times New Roman" w:cs="Times New Roman"/>
              </w:rPr>
              <w:t>Any slash that must be moved more than 50’ to meet minimum required pile size may be lopped and scattered to a maximum depth of 18”.</w:t>
            </w:r>
          </w:p>
          <w:p w14:paraId="3F7B2D1D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All treated material shall not be left beneath or within 10’ of the dripline of a retained tree. </w:t>
            </w:r>
          </w:p>
          <w:p w14:paraId="737E993C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Piles should be at least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x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in diameter, 15’ apart, &amp; 10’ from residual tree </w:t>
            </w:r>
            <w:r>
              <w:rPr>
                <w:rFonts w:ascii="Times New Roman" w:hAnsi="Times New Roman" w:cs="Times New Roman"/>
              </w:rPr>
              <w:t xml:space="preserve">boles. </w:t>
            </w:r>
            <w:r w:rsidRPr="00BE7022">
              <w:rPr>
                <w:rFonts w:ascii="Times New Roman" w:hAnsi="Times New Roman" w:cs="Times New Roman"/>
              </w:rPr>
              <w:t>Cut conifers in order to create piles when needed.</w:t>
            </w:r>
          </w:p>
          <w:p w14:paraId="5AC97B9F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Treated bole wood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in diameter or greater must be scattered and be in contact with th</w:t>
            </w:r>
            <w:r>
              <w:rPr>
                <w:rFonts w:ascii="Times New Roman" w:hAnsi="Times New Roman" w:cs="Times New Roman"/>
              </w:rPr>
              <w:t xml:space="preserve">e ground. </w:t>
            </w:r>
            <w:r w:rsidRPr="00BE7022">
              <w:rPr>
                <w:rFonts w:ascii="Times New Roman" w:hAnsi="Times New Roman" w:cs="Times New Roman"/>
              </w:rPr>
              <w:t>Individual boles of 8” or greater must be bucked into 4’ lengths beginning at the large end.</w:t>
            </w:r>
          </w:p>
          <w:p w14:paraId="7E986118" w14:textId="77777777" w:rsidR="001506FA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Pull back slash and construct piles at least 50’ from any infrastructure and private property boundaries.</w:t>
            </w:r>
          </w:p>
          <w:p w14:paraId="36D1C9DC" w14:textId="77777777" w:rsidR="001506FA" w:rsidRPr="00101C2C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101C2C">
              <w:rPr>
                <w:rFonts w:ascii="Times New Roman" w:hAnsi="Times New Roman" w:cs="Times New Roman"/>
              </w:rPr>
              <w:t>Retain an average of 2 piles per acre for wildlife habitat, including any piles remaining from previous vegetation treatment, distributed randomly throughout the unit.</w:t>
            </w:r>
          </w:p>
          <w:p w14:paraId="30A347B0" w14:textId="5A0E9A4E" w:rsidR="005779D1" w:rsidRDefault="005779D1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not construct </w:t>
            </w:r>
            <w:proofErr w:type="spellStart"/>
            <w:r>
              <w:rPr>
                <w:rFonts w:ascii="Times New Roman" w:hAnsi="Times New Roman" w:cs="Times New Roman"/>
              </w:rPr>
              <w:t>handpiles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rock outcrops.</w:t>
            </w:r>
          </w:p>
        </w:tc>
      </w:tr>
    </w:tbl>
    <w:p w14:paraId="654ABF2E" w14:textId="77777777" w:rsidR="009678FE" w:rsidRPr="00582A2B" w:rsidRDefault="00D17353">
      <w:pPr>
        <w:widowControl/>
        <w:rPr>
          <w:rFonts w:asciiTheme="minorHAnsi" w:hAnsiTheme="minorHAnsi"/>
          <w:sz w:val="24"/>
          <w:szCs w:val="24"/>
        </w:rPr>
      </w:pPr>
      <w:r w:rsidRPr="00582A2B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9678FE" w:rsidRPr="00582A2B">
        <w:rPr>
          <w:rFonts w:asciiTheme="minorHAnsi" w:hAnsiTheme="minorHAnsi"/>
          <w:sz w:val="24"/>
          <w:szCs w:val="24"/>
        </w:rPr>
        <w:t xml:space="preserve">      </w:t>
      </w: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11637"/>
      </w:tblGrid>
      <w:tr w:rsidR="009678FE" w:rsidRPr="00582A2B" w14:paraId="664C1E60" w14:textId="77777777" w:rsidTr="00CB0054">
        <w:tc>
          <w:tcPr>
            <w:tcW w:w="27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7F954630" w14:textId="7D640408" w:rsidR="009678FE" w:rsidRPr="0030267E" w:rsidRDefault="00BF2D41" w:rsidP="00BF2D41">
            <w:pPr>
              <w:widowControl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BOUNDARY DESIGNATION AND TREE MARK</w:t>
            </w:r>
          </w:p>
        </w:tc>
        <w:tc>
          <w:tcPr>
            <w:tcW w:w="11637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09644232" w14:textId="0D88251D" w:rsidR="003B41DF" w:rsidRPr="00915678" w:rsidRDefault="00582A2B" w:rsidP="00915678">
            <w:pPr>
              <w:pStyle w:val="axNormal"/>
              <w:numPr>
                <w:ilvl w:val="1"/>
                <w:numId w:val="12"/>
              </w:numPr>
              <w:tabs>
                <w:tab w:val="clear" w:pos="1440"/>
                <w:tab w:val="clear" w:pos="2160"/>
                <w:tab w:val="left" w:pos="791"/>
              </w:tabs>
              <w:ind w:left="747" w:hanging="406"/>
              <w:rPr>
                <w:rFonts w:ascii="Times New Roman" w:hAnsi="Times New Roman" w:cs="Times New Roman"/>
                <w:sz w:val="22"/>
                <w:szCs w:val="22"/>
              </w:rPr>
            </w:pP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Boundary trees marked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>orange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flagging</w:t>
            </w:r>
            <w:r w:rsidR="00353D72"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353D72"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painted in orange</w:t>
            </w:r>
            <w:r w:rsidR="00D333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(if needed)</w:t>
            </w:r>
            <w:r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</w:tr>
      <w:tr w:rsidR="00972B4D" w:rsidRPr="00582A2B" w14:paraId="72159463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5995E8" w14:textId="40EA88A2" w:rsidR="00972B4D" w:rsidRPr="0030267E" w:rsidRDefault="00972B4D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TIMING RESTRICTIONS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999645B" w14:textId="0DBF6D61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Raptor nest areas, including species-specific buffers, will generally have no treatment activity from March 1 through September 15, depending on species, or until determined unoccupied by the wildlife biologist. Access through buffers during this period will be assessed by the wildlife biologist.</w:t>
            </w:r>
          </w:p>
          <w:p w14:paraId="6B68BEA3" w14:textId="5E71F702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December 1 through April 30 for elk, unless determined appropriate to treat by the wildlife biologist.</w:t>
            </w:r>
          </w:p>
          <w:p w14:paraId="55D89D40" w14:textId="693132BF" w:rsidR="00972B4D" w:rsidRP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operations will not be conducted on Memorial Day, 4</w:t>
            </w:r>
            <w:r w:rsidRPr="00972B4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of July and Labor Day holiday weekends and on Sundays. Operating time for heavy equipment and chainsaws shall be limited to the hours of 7am to 7pm.</w:t>
            </w:r>
          </w:p>
        </w:tc>
      </w:tr>
      <w:tr w:rsidR="002E0F8F" w:rsidRPr="00582A2B" w14:paraId="09B5EAF2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AEB7CA" w14:textId="23030EAC" w:rsidR="002E0F8F" w:rsidRDefault="002E0F8F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MMG CONCERNS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4CCDAEC0" w14:textId="3F561337" w:rsidR="00787E4B" w:rsidRPr="00787E4B" w:rsidRDefault="0071104E" w:rsidP="00787E4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</w:tr>
      <w:tr w:rsidR="00CB0054" w:rsidRPr="00582A2B" w14:paraId="4F93AFEC" w14:textId="77777777" w:rsidTr="00D17353">
        <w:tc>
          <w:tcPr>
            <w:tcW w:w="276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B5E0346" w14:textId="7262BB30" w:rsidR="00CB0054" w:rsidRPr="0030267E" w:rsidRDefault="00CB0054" w:rsidP="009E3C02">
            <w:pPr>
              <w:widowControl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7E">
              <w:rPr>
                <w:rFonts w:ascii="Times New Roman" w:hAnsi="Times New Roman"/>
                <w:b/>
                <w:bCs/>
                <w:sz w:val="24"/>
                <w:szCs w:val="24"/>
              </w:rPr>
              <w:t>FOR MORE INFO:</w:t>
            </w:r>
          </w:p>
        </w:tc>
        <w:tc>
          <w:tcPr>
            <w:tcW w:w="11637" w:type="dxa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18" w:space="0" w:color="000000"/>
            </w:tcBorders>
            <w:vAlign w:val="center"/>
          </w:tcPr>
          <w:p w14:paraId="40B08965" w14:textId="2AA11F76" w:rsidR="00CB0054" w:rsidRPr="009E5341" w:rsidRDefault="000254F9" w:rsidP="000254F9">
            <w:pPr>
              <w:widowControl/>
              <w:ind w:left="360" w:righ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Forsythe II</w:t>
            </w:r>
            <w:r w:rsidR="002A31AE" w:rsidRPr="009E5341">
              <w:rPr>
                <w:rFonts w:ascii="Times New Roman" w:hAnsi="Times New Roman"/>
                <w:sz w:val="22"/>
                <w:szCs w:val="22"/>
              </w:rPr>
              <w:t xml:space="preserve"> EA</w:t>
            </w:r>
          </w:p>
        </w:tc>
      </w:tr>
    </w:tbl>
    <w:p w14:paraId="6FD0CE78" w14:textId="77777777" w:rsidR="009678FE" w:rsidRDefault="009678FE" w:rsidP="006F65FC">
      <w:pPr>
        <w:widowControl/>
      </w:pPr>
    </w:p>
    <w:sectPr w:rsidR="009678FE" w:rsidSect="00F57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9BBDE" w14:textId="77777777" w:rsidR="005663A8" w:rsidRDefault="005663A8" w:rsidP="00363F56">
      <w:r>
        <w:separator/>
      </w:r>
    </w:p>
  </w:endnote>
  <w:endnote w:type="continuationSeparator" w:id="0">
    <w:p w14:paraId="3BE8919C" w14:textId="77777777" w:rsidR="005663A8" w:rsidRDefault="005663A8" w:rsidP="003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06D2" w14:textId="77777777" w:rsidR="00B1416F" w:rsidRDefault="00B14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FB20" w14:textId="77777777" w:rsidR="00B1416F" w:rsidRDefault="00B14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0F61" w14:textId="77777777" w:rsidR="00B1416F" w:rsidRDefault="00B14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0F7DD" w14:textId="77777777" w:rsidR="005663A8" w:rsidRDefault="005663A8" w:rsidP="00363F56">
      <w:r>
        <w:separator/>
      </w:r>
    </w:p>
  </w:footnote>
  <w:footnote w:type="continuationSeparator" w:id="0">
    <w:p w14:paraId="0379C175" w14:textId="77777777" w:rsidR="005663A8" w:rsidRDefault="005663A8" w:rsidP="0036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2D3D" w14:textId="77777777" w:rsidR="00B1416F" w:rsidRDefault="00B14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431404"/>
      <w:docPartObj>
        <w:docPartGallery w:val="Watermarks"/>
        <w:docPartUnique/>
      </w:docPartObj>
    </w:sdtPr>
    <w:sdtEndPr/>
    <w:sdtContent>
      <w:p w14:paraId="5F97DA74" w14:textId="0F419E0F" w:rsidR="00B1416F" w:rsidRDefault="008421B1">
        <w:pPr>
          <w:pStyle w:val="Header"/>
        </w:pPr>
        <w:r>
          <w:rPr>
            <w:noProof/>
          </w:rPr>
          <w:pict w14:anchorId="3569E5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31A0" w14:textId="77777777" w:rsidR="00B1416F" w:rsidRDefault="00B14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C35"/>
    <w:multiLevelType w:val="hybridMultilevel"/>
    <w:tmpl w:val="545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AF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B1AA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E13"/>
    <w:multiLevelType w:val="hybridMultilevel"/>
    <w:tmpl w:val="C742C2BE"/>
    <w:lvl w:ilvl="0" w:tplc="9B4E9440">
      <w:start w:val="1"/>
      <w:numFmt w:val="bullet"/>
      <w:lvlText w:val=""/>
      <w:lvlJc w:val="left"/>
      <w:pPr>
        <w:ind w:left="64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72808"/>
    <w:multiLevelType w:val="hybridMultilevel"/>
    <w:tmpl w:val="F4561572"/>
    <w:lvl w:ilvl="0" w:tplc="9B4E9440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A1F4376"/>
    <w:multiLevelType w:val="hybridMultilevel"/>
    <w:tmpl w:val="FF10B6E4"/>
    <w:lvl w:ilvl="0" w:tplc="8A0675EA">
      <w:start w:val="1"/>
      <w:numFmt w:val="bullet"/>
      <w:lvlText w:val=""/>
      <w:lvlJc w:val="left"/>
      <w:pPr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131D1B"/>
    <w:multiLevelType w:val="hybridMultilevel"/>
    <w:tmpl w:val="94CE1C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9064E"/>
    <w:multiLevelType w:val="hybridMultilevel"/>
    <w:tmpl w:val="FD1E2C64"/>
    <w:lvl w:ilvl="0" w:tplc="0409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 w15:restartNumberingAfterBreak="0">
    <w:nsid w:val="21A452E3"/>
    <w:multiLevelType w:val="hybridMultilevel"/>
    <w:tmpl w:val="B108F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3CDE"/>
    <w:multiLevelType w:val="hybridMultilevel"/>
    <w:tmpl w:val="7C3E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43C5"/>
    <w:multiLevelType w:val="hybridMultilevel"/>
    <w:tmpl w:val="2E783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51548"/>
    <w:multiLevelType w:val="hybridMultilevel"/>
    <w:tmpl w:val="2884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1684"/>
    <w:multiLevelType w:val="hybridMultilevel"/>
    <w:tmpl w:val="0F6C21E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62E41EE"/>
    <w:multiLevelType w:val="hybridMultilevel"/>
    <w:tmpl w:val="155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5A234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29A3"/>
    <w:multiLevelType w:val="hybridMultilevel"/>
    <w:tmpl w:val="34FC07C6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22C4400"/>
    <w:multiLevelType w:val="hybridMultilevel"/>
    <w:tmpl w:val="5AA4D47E"/>
    <w:lvl w:ilvl="0" w:tplc="0409000F">
      <w:start w:val="1"/>
      <w:numFmt w:val="decimal"/>
      <w:lvlText w:val="%1.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4" w15:restartNumberingAfterBreak="0">
    <w:nsid w:val="438051BF"/>
    <w:multiLevelType w:val="hybridMultilevel"/>
    <w:tmpl w:val="9808D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71061"/>
    <w:multiLevelType w:val="hybridMultilevel"/>
    <w:tmpl w:val="27E878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63C41EA"/>
    <w:multiLevelType w:val="hybridMultilevel"/>
    <w:tmpl w:val="DA022F38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AD92189"/>
    <w:multiLevelType w:val="hybridMultilevel"/>
    <w:tmpl w:val="9EFCBDD8"/>
    <w:lvl w:ilvl="0" w:tplc="9B4E9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D2BDF"/>
    <w:multiLevelType w:val="hybridMultilevel"/>
    <w:tmpl w:val="701A1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2203F"/>
    <w:multiLevelType w:val="hybridMultilevel"/>
    <w:tmpl w:val="F0AA4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4A6A6F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EDC0406">
      <w:start w:val="1"/>
      <w:numFmt w:val="lowerLetter"/>
      <w:lvlText w:val="%3.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E3BCE"/>
    <w:multiLevelType w:val="hybridMultilevel"/>
    <w:tmpl w:val="A76080F8"/>
    <w:lvl w:ilvl="0" w:tplc="04090015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65037D0A"/>
    <w:multiLevelType w:val="hybridMultilevel"/>
    <w:tmpl w:val="8AF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C0A86"/>
    <w:multiLevelType w:val="hybridMultilevel"/>
    <w:tmpl w:val="F562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57C11"/>
    <w:multiLevelType w:val="hybridMultilevel"/>
    <w:tmpl w:val="D45C6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72699"/>
    <w:multiLevelType w:val="hybridMultilevel"/>
    <w:tmpl w:val="C918387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C640A44"/>
    <w:multiLevelType w:val="hybridMultilevel"/>
    <w:tmpl w:val="2422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D3C51"/>
    <w:multiLevelType w:val="hybridMultilevel"/>
    <w:tmpl w:val="6E5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7467E"/>
    <w:multiLevelType w:val="hybridMultilevel"/>
    <w:tmpl w:val="38E29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206B8"/>
    <w:multiLevelType w:val="hybridMultilevel"/>
    <w:tmpl w:val="F0D0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B1D24"/>
    <w:multiLevelType w:val="hybridMultilevel"/>
    <w:tmpl w:val="4D204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4"/>
  </w:num>
  <w:num w:numId="5">
    <w:abstractNumId w:val="1"/>
  </w:num>
  <w:num w:numId="6">
    <w:abstractNumId w:val="24"/>
  </w:num>
  <w:num w:numId="7">
    <w:abstractNumId w:val="10"/>
  </w:num>
  <w:num w:numId="8">
    <w:abstractNumId w:val="3"/>
  </w:num>
  <w:num w:numId="9">
    <w:abstractNumId w:val="1"/>
  </w:num>
  <w:num w:numId="10">
    <w:abstractNumId w:val="29"/>
  </w:num>
  <w:num w:numId="11">
    <w:abstractNumId w:val="8"/>
  </w:num>
  <w:num w:numId="12">
    <w:abstractNumId w:val="6"/>
  </w:num>
  <w:num w:numId="13">
    <w:abstractNumId w:val="20"/>
  </w:num>
  <w:num w:numId="14">
    <w:abstractNumId w:val="13"/>
  </w:num>
  <w:num w:numId="15">
    <w:abstractNumId w:val="18"/>
  </w:num>
  <w:num w:numId="16">
    <w:abstractNumId w:val="0"/>
  </w:num>
  <w:num w:numId="17">
    <w:abstractNumId w:val="21"/>
  </w:num>
  <w:num w:numId="18">
    <w:abstractNumId w:val="26"/>
  </w:num>
  <w:num w:numId="19">
    <w:abstractNumId w:val="17"/>
  </w:num>
  <w:num w:numId="20">
    <w:abstractNumId w:val="2"/>
  </w:num>
  <w:num w:numId="21">
    <w:abstractNumId w:val="11"/>
  </w:num>
  <w:num w:numId="22">
    <w:abstractNumId w:val="4"/>
  </w:num>
  <w:num w:numId="23">
    <w:abstractNumId w:val="25"/>
  </w:num>
  <w:num w:numId="24">
    <w:abstractNumId w:val="23"/>
  </w:num>
  <w:num w:numId="25">
    <w:abstractNumId w:val="22"/>
  </w:num>
  <w:num w:numId="26">
    <w:abstractNumId w:val="16"/>
  </w:num>
  <w:num w:numId="27">
    <w:abstractNumId w:val="28"/>
  </w:num>
  <w:num w:numId="28">
    <w:abstractNumId w:val="12"/>
  </w:num>
  <w:num w:numId="29">
    <w:abstractNumId w:val="27"/>
  </w:num>
  <w:num w:numId="30">
    <w:abstractNumId w:val="9"/>
  </w:num>
  <w:num w:numId="31">
    <w:abstractNumId w:val="7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2E"/>
    <w:rsid w:val="00000C64"/>
    <w:rsid w:val="00010BD1"/>
    <w:rsid w:val="00012526"/>
    <w:rsid w:val="000155D9"/>
    <w:rsid w:val="0002309B"/>
    <w:rsid w:val="0002354E"/>
    <w:rsid w:val="000254F9"/>
    <w:rsid w:val="00026D35"/>
    <w:rsid w:val="0002702A"/>
    <w:rsid w:val="00031C72"/>
    <w:rsid w:val="000537F2"/>
    <w:rsid w:val="0006679B"/>
    <w:rsid w:val="000703DF"/>
    <w:rsid w:val="000708C2"/>
    <w:rsid w:val="000709E8"/>
    <w:rsid w:val="00075B73"/>
    <w:rsid w:val="00076237"/>
    <w:rsid w:val="00077452"/>
    <w:rsid w:val="00087BED"/>
    <w:rsid w:val="0009023F"/>
    <w:rsid w:val="000B4D1A"/>
    <w:rsid w:val="000B4F55"/>
    <w:rsid w:val="000B567B"/>
    <w:rsid w:val="000D49F5"/>
    <w:rsid w:val="000E6B12"/>
    <w:rsid w:val="000F1A94"/>
    <w:rsid w:val="000F5767"/>
    <w:rsid w:val="000F722D"/>
    <w:rsid w:val="00101195"/>
    <w:rsid w:val="00101C2C"/>
    <w:rsid w:val="0010475A"/>
    <w:rsid w:val="0010687E"/>
    <w:rsid w:val="00111752"/>
    <w:rsid w:val="00112C56"/>
    <w:rsid w:val="00116236"/>
    <w:rsid w:val="0012106C"/>
    <w:rsid w:val="00121962"/>
    <w:rsid w:val="001223B7"/>
    <w:rsid w:val="00133798"/>
    <w:rsid w:val="00140A84"/>
    <w:rsid w:val="001506FA"/>
    <w:rsid w:val="001511DB"/>
    <w:rsid w:val="00153461"/>
    <w:rsid w:val="00156545"/>
    <w:rsid w:val="00161233"/>
    <w:rsid w:val="001634D9"/>
    <w:rsid w:val="00181D5A"/>
    <w:rsid w:val="001836DA"/>
    <w:rsid w:val="001A7CB4"/>
    <w:rsid w:val="001B0AC7"/>
    <w:rsid w:val="001B11A0"/>
    <w:rsid w:val="001B2F0F"/>
    <w:rsid w:val="001B3C93"/>
    <w:rsid w:val="001B40EE"/>
    <w:rsid w:val="001C3A25"/>
    <w:rsid w:val="001C4015"/>
    <w:rsid w:val="001C7D50"/>
    <w:rsid w:val="001D6037"/>
    <w:rsid w:val="001D772B"/>
    <w:rsid w:val="001E2667"/>
    <w:rsid w:val="001F15B3"/>
    <w:rsid w:val="001F68F1"/>
    <w:rsid w:val="002105A3"/>
    <w:rsid w:val="00212DDF"/>
    <w:rsid w:val="00214AF9"/>
    <w:rsid w:val="00216DA4"/>
    <w:rsid w:val="00217351"/>
    <w:rsid w:val="002209DF"/>
    <w:rsid w:val="00220D38"/>
    <w:rsid w:val="00236E83"/>
    <w:rsid w:val="0024483D"/>
    <w:rsid w:val="00250A8E"/>
    <w:rsid w:val="00251FB0"/>
    <w:rsid w:val="002738D3"/>
    <w:rsid w:val="00275784"/>
    <w:rsid w:val="00286FDF"/>
    <w:rsid w:val="002A2290"/>
    <w:rsid w:val="002A31AE"/>
    <w:rsid w:val="002A7D1A"/>
    <w:rsid w:val="002B3FB7"/>
    <w:rsid w:val="002C466C"/>
    <w:rsid w:val="002C4807"/>
    <w:rsid w:val="002D3E84"/>
    <w:rsid w:val="002E0F8F"/>
    <w:rsid w:val="002E5BD1"/>
    <w:rsid w:val="002E5EDA"/>
    <w:rsid w:val="002E699C"/>
    <w:rsid w:val="002F4F78"/>
    <w:rsid w:val="0030267E"/>
    <w:rsid w:val="0031627B"/>
    <w:rsid w:val="0032053D"/>
    <w:rsid w:val="0032056E"/>
    <w:rsid w:val="003223AA"/>
    <w:rsid w:val="00322677"/>
    <w:rsid w:val="0032291A"/>
    <w:rsid w:val="00323469"/>
    <w:rsid w:val="003254B6"/>
    <w:rsid w:val="00325E1D"/>
    <w:rsid w:val="00336A4D"/>
    <w:rsid w:val="003400D4"/>
    <w:rsid w:val="00343D28"/>
    <w:rsid w:val="003459D7"/>
    <w:rsid w:val="00352235"/>
    <w:rsid w:val="00353D72"/>
    <w:rsid w:val="00360002"/>
    <w:rsid w:val="003618A0"/>
    <w:rsid w:val="00361B28"/>
    <w:rsid w:val="00363F56"/>
    <w:rsid w:val="00365047"/>
    <w:rsid w:val="00365929"/>
    <w:rsid w:val="00377792"/>
    <w:rsid w:val="00380F7B"/>
    <w:rsid w:val="003A01FF"/>
    <w:rsid w:val="003A3466"/>
    <w:rsid w:val="003A3B46"/>
    <w:rsid w:val="003B41DF"/>
    <w:rsid w:val="003D1E14"/>
    <w:rsid w:val="003D58C5"/>
    <w:rsid w:val="003E48C2"/>
    <w:rsid w:val="003E4F35"/>
    <w:rsid w:val="003E77DA"/>
    <w:rsid w:val="003F005F"/>
    <w:rsid w:val="003F2ECD"/>
    <w:rsid w:val="003F3C6F"/>
    <w:rsid w:val="003F423D"/>
    <w:rsid w:val="004021BD"/>
    <w:rsid w:val="004158F7"/>
    <w:rsid w:val="00422AF2"/>
    <w:rsid w:val="0044177D"/>
    <w:rsid w:val="00442D97"/>
    <w:rsid w:val="00444689"/>
    <w:rsid w:val="004515FD"/>
    <w:rsid w:val="004552DE"/>
    <w:rsid w:val="0045737A"/>
    <w:rsid w:val="00466C80"/>
    <w:rsid w:val="00472CB9"/>
    <w:rsid w:val="0048368C"/>
    <w:rsid w:val="00486200"/>
    <w:rsid w:val="0049246E"/>
    <w:rsid w:val="004B061E"/>
    <w:rsid w:val="004B2246"/>
    <w:rsid w:val="004D09B6"/>
    <w:rsid w:val="004D2E02"/>
    <w:rsid w:val="004D66CA"/>
    <w:rsid w:val="004E6E22"/>
    <w:rsid w:val="004E71AA"/>
    <w:rsid w:val="004E7CC6"/>
    <w:rsid w:val="005057DA"/>
    <w:rsid w:val="00516138"/>
    <w:rsid w:val="00517103"/>
    <w:rsid w:val="005266BE"/>
    <w:rsid w:val="00526963"/>
    <w:rsid w:val="00536A41"/>
    <w:rsid w:val="00536B93"/>
    <w:rsid w:val="0053775A"/>
    <w:rsid w:val="005411DA"/>
    <w:rsid w:val="005466B2"/>
    <w:rsid w:val="0054694A"/>
    <w:rsid w:val="00547668"/>
    <w:rsid w:val="0056562D"/>
    <w:rsid w:val="005663A8"/>
    <w:rsid w:val="00567204"/>
    <w:rsid w:val="005674DA"/>
    <w:rsid w:val="005709E2"/>
    <w:rsid w:val="005779D1"/>
    <w:rsid w:val="00581F40"/>
    <w:rsid w:val="00582A2B"/>
    <w:rsid w:val="00585521"/>
    <w:rsid w:val="005A13BF"/>
    <w:rsid w:val="005A5AB6"/>
    <w:rsid w:val="005A7D53"/>
    <w:rsid w:val="005B5B2C"/>
    <w:rsid w:val="005C48A0"/>
    <w:rsid w:val="005D23B7"/>
    <w:rsid w:val="005D3C44"/>
    <w:rsid w:val="005D62E5"/>
    <w:rsid w:val="005E3016"/>
    <w:rsid w:val="005E32D5"/>
    <w:rsid w:val="005E39D7"/>
    <w:rsid w:val="00600F8D"/>
    <w:rsid w:val="00604D5A"/>
    <w:rsid w:val="00630249"/>
    <w:rsid w:val="00642DFB"/>
    <w:rsid w:val="00646ED2"/>
    <w:rsid w:val="00650933"/>
    <w:rsid w:val="006538F0"/>
    <w:rsid w:val="00655EC1"/>
    <w:rsid w:val="00655F5F"/>
    <w:rsid w:val="00670670"/>
    <w:rsid w:val="0067261B"/>
    <w:rsid w:val="006733E1"/>
    <w:rsid w:val="006741B6"/>
    <w:rsid w:val="0069050E"/>
    <w:rsid w:val="00690587"/>
    <w:rsid w:val="00693D4A"/>
    <w:rsid w:val="00694B33"/>
    <w:rsid w:val="00697CD5"/>
    <w:rsid w:val="006A2CBA"/>
    <w:rsid w:val="006A7D0D"/>
    <w:rsid w:val="006B5F24"/>
    <w:rsid w:val="006C5145"/>
    <w:rsid w:val="006D40EB"/>
    <w:rsid w:val="006D5020"/>
    <w:rsid w:val="006D53D5"/>
    <w:rsid w:val="006E541D"/>
    <w:rsid w:val="006F0B13"/>
    <w:rsid w:val="006F3895"/>
    <w:rsid w:val="006F65FC"/>
    <w:rsid w:val="0071104E"/>
    <w:rsid w:val="007224D6"/>
    <w:rsid w:val="007325DA"/>
    <w:rsid w:val="00733F62"/>
    <w:rsid w:val="00735EF9"/>
    <w:rsid w:val="0074056F"/>
    <w:rsid w:val="007411A9"/>
    <w:rsid w:val="0074450E"/>
    <w:rsid w:val="007457FC"/>
    <w:rsid w:val="00745E98"/>
    <w:rsid w:val="007576CD"/>
    <w:rsid w:val="00762DDE"/>
    <w:rsid w:val="00767515"/>
    <w:rsid w:val="00767B56"/>
    <w:rsid w:val="007744AB"/>
    <w:rsid w:val="00787E4B"/>
    <w:rsid w:val="00792F75"/>
    <w:rsid w:val="007A302E"/>
    <w:rsid w:val="007B2B08"/>
    <w:rsid w:val="007B670C"/>
    <w:rsid w:val="007B6F38"/>
    <w:rsid w:val="007D3097"/>
    <w:rsid w:val="007E5367"/>
    <w:rsid w:val="007F474E"/>
    <w:rsid w:val="007F5AAC"/>
    <w:rsid w:val="007F762B"/>
    <w:rsid w:val="00800A19"/>
    <w:rsid w:val="0080133A"/>
    <w:rsid w:val="00806DC8"/>
    <w:rsid w:val="00807AAF"/>
    <w:rsid w:val="00814BD3"/>
    <w:rsid w:val="00817F1C"/>
    <w:rsid w:val="00834B8D"/>
    <w:rsid w:val="00835D75"/>
    <w:rsid w:val="00836CB2"/>
    <w:rsid w:val="008421B1"/>
    <w:rsid w:val="00843BDF"/>
    <w:rsid w:val="00846204"/>
    <w:rsid w:val="00847E12"/>
    <w:rsid w:val="008579AA"/>
    <w:rsid w:val="0086349C"/>
    <w:rsid w:val="0087666E"/>
    <w:rsid w:val="00881043"/>
    <w:rsid w:val="00890B3E"/>
    <w:rsid w:val="008A3A70"/>
    <w:rsid w:val="008A66C3"/>
    <w:rsid w:val="008B33EB"/>
    <w:rsid w:val="008B57E4"/>
    <w:rsid w:val="008B7886"/>
    <w:rsid w:val="008C65F7"/>
    <w:rsid w:val="008D0D02"/>
    <w:rsid w:val="008D10FC"/>
    <w:rsid w:val="008D26D6"/>
    <w:rsid w:val="008E2617"/>
    <w:rsid w:val="008E4A2F"/>
    <w:rsid w:val="008E6429"/>
    <w:rsid w:val="009009A3"/>
    <w:rsid w:val="0091164D"/>
    <w:rsid w:val="00913418"/>
    <w:rsid w:val="0091551E"/>
    <w:rsid w:val="00915678"/>
    <w:rsid w:val="00917415"/>
    <w:rsid w:val="009254AB"/>
    <w:rsid w:val="00927A68"/>
    <w:rsid w:val="009303AF"/>
    <w:rsid w:val="00930424"/>
    <w:rsid w:val="0093148C"/>
    <w:rsid w:val="009347C5"/>
    <w:rsid w:val="00940ECB"/>
    <w:rsid w:val="00944BF5"/>
    <w:rsid w:val="009460D4"/>
    <w:rsid w:val="00946F9C"/>
    <w:rsid w:val="00955E2B"/>
    <w:rsid w:val="00956837"/>
    <w:rsid w:val="00963194"/>
    <w:rsid w:val="009678FE"/>
    <w:rsid w:val="009722E3"/>
    <w:rsid w:val="00972B4D"/>
    <w:rsid w:val="00987711"/>
    <w:rsid w:val="00990094"/>
    <w:rsid w:val="00997DD9"/>
    <w:rsid w:val="009A3B03"/>
    <w:rsid w:val="009A414F"/>
    <w:rsid w:val="009B694A"/>
    <w:rsid w:val="009B7EEE"/>
    <w:rsid w:val="009C2D09"/>
    <w:rsid w:val="009C66F3"/>
    <w:rsid w:val="009D3BAC"/>
    <w:rsid w:val="009D6AD0"/>
    <w:rsid w:val="009E3C02"/>
    <w:rsid w:val="009E5341"/>
    <w:rsid w:val="009F2679"/>
    <w:rsid w:val="009F5EC7"/>
    <w:rsid w:val="00A030CC"/>
    <w:rsid w:val="00A30991"/>
    <w:rsid w:val="00A33E86"/>
    <w:rsid w:val="00A41E58"/>
    <w:rsid w:val="00A43000"/>
    <w:rsid w:val="00A57342"/>
    <w:rsid w:val="00A67CEA"/>
    <w:rsid w:val="00A71057"/>
    <w:rsid w:val="00A823D5"/>
    <w:rsid w:val="00A96BB5"/>
    <w:rsid w:val="00AA308E"/>
    <w:rsid w:val="00AB0295"/>
    <w:rsid w:val="00AC59C4"/>
    <w:rsid w:val="00AD393E"/>
    <w:rsid w:val="00AD41B6"/>
    <w:rsid w:val="00AE55C8"/>
    <w:rsid w:val="00AF3184"/>
    <w:rsid w:val="00B01159"/>
    <w:rsid w:val="00B02322"/>
    <w:rsid w:val="00B1162B"/>
    <w:rsid w:val="00B1416F"/>
    <w:rsid w:val="00B1677C"/>
    <w:rsid w:val="00B24F5F"/>
    <w:rsid w:val="00B36017"/>
    <w:rsid w:val="00B37AEB"/>
    <w:rsid w:val="00B4190A"/>
    <w:rsid w:val="00B624EF"/>
    <w:rsid w:val="00B66113"/>
    <w:rsid w:val="00B7197A"/>
    <w:rsid w:val="00B732B8"/>
    <w:rsid w:val="00B77B86"/>
    <w:rsid w:val="00B81EC5"/>
    <w:rsid w:val="00B84447"/>
    <w:rsid w:val="00B85893"/>
    <w:rsid w:val="00B9412D"/>
    <w:rsid w:val="00B961DD"/>
    <w:rsid w:val="00BA23C7"/>
    <w:rsid w:val="00BA2BAC"/>
    <w:rsid w:val="00BA4834"/>
    <w:rsid w:val="00BB2D7F"/>
    <w:rsid w:val="00BB4CF3"/>
    <w:rsid w:val="00BB6C02"/>
    <w:rsid w:val="00BC3550"/>
    <w:rsid w:val="00BD3F80"/>
    <w:rsid w:val="00BE7022"/>
    <w:rsid w:val="00BF2D41"/>
    <w:rsid w:val="00BF427B"/>
    <w:rsid w:val="00C02A2B"/>
    <w:rsid w:val="00C05CD8"/>
    <w:rsid w:val="00C15E71"/>
    <w:rsid w:val="00C17B3C"/>
    <w:rsid w:val="00C20D59"/>
    <w:rsid w:val="00C2145C"/>
    <w:rsid w:val="00C23793"/>
    <w:rsid w:val="00C27EED"/>
    <w:rsid w:val="00C304DF"/>
    <w:rsid w:val="00C50CCB"/>
    <w:rsid w:val="00C53686"/>
    <w:rsid w:val="00C61DEA"/>
    <w:rsid w:val="00C6778A"/>
    <w:rsid w:val="00C776B2"/>
    <w:rsid w:val="00C91AB2"/>
    <w:rsid w:val="00C966A8"/>
    <w:rsid w:val="00CA7C9D"/>
    <w:rsid w:val="00CB0054"/>
    <w:rsid w:val="00CC0B04"/>
    <w:rsid w:val="00CC45A6"/>
    <w:rsid w:val="00CD2CB0"/>
    <w:rsid w:val="00CD4D8C"/>
    <w:rsid w:val="00CE07E7"/>
    <w:rsid w:val="00CE081A"/>
    <w:rsid w:val="00CF2EA4"/>
    <w:rsid w:val="00D003D6"/>
    <w:rsid w:val="00D004B1"/>
    <w:rsid w:val="00D005EA"/>
    <w:rsid w:val="00D05781"/>
    <w:rsid w:val="00D1405D"/>
    <w:rsid w:val="00D1696B"/>
    <w:rsid w:val="00D17353"/>
    <w:rsid w:val="00D333FA"/>
    <w:rsid w:val="00D34C4E"/>
    <w:rsid w:val="00D4410D"/>
    <w:rsid w:val="00D6284E"/>
    <w:rsid w:val="00D62FA8"/>
    <w:rsid w:val="00D669CC"/>
    <w:rsid w:val="00D710A3"/>
    <w:rsid w:val="00D816BF"/>
    <w:rsid w:val="00D92C0A"/>
    <w:rsid w:val="00D9524F"/>
    <w:rsid w:val="00DA4B55"/>
    <w:rsid w:val="00DB1D51"/>
    <w:rsid w:val="00DC40C2"/>
    <w:rsid w:val="00DE6D08"/>
    <w:rsid w:val="00E0632A"/>
    <w:rsid w:val="00E06FD4"/>
    <w:rsid w:val="00E10404"/>
    <w:rsid w:val="00E13D30"/>
    <w:rsid w:val="00E149DD"/>
    <w:rsid w:val="00E14C48"/>
    <w:rsid w:val="00E17371"/>
    <w:rsid w:val="00E21D2B"/>
    <w:rsid w:val="00E2292C"/>
    <w:rsid w:val="00E25D65"/>
    <w:rsid w:val="00E330BC"/>
    <w:rsid w:val="00E3495B"/>
    <w:rsid w:val="00E41274"/>
    <w:rsid w:val="00E476A6"/>
    <w:rsid w:val="00E5647B"/>
    <w:rsid w:val="00E579B4"/>
    <w:rsid w:val="00E612C9"/>
    <w:rsid w:val="00E63D0F"/>
    <w:rsid w:val="00E667BD"/>
    <w:rsid w:val="00E70D45"/>
    <w:rsid w:val="00E85411"/>
    <w:rsid w:val="00E861DA"/>
    <w:rsid w:val="00E94207"/>
    <w:rsid w:val="00EB2B58"/>
    <w:rsid w:val="00EB7EAE"/>
    <w:rsid w:val="00EC656B"/>
    <w:rsid w:val="00EE1F98"/>
    <w:rsid w:val="00EE4495"/>
    <w:rsid w:val="00EE6D78"/>
    <w:rsid w:val="00EE7861"/>
    <w:rsid w:val="00EF373F"/>
    <w:rsid w:val="00EF745A"/>
    <w:rsid w:val="00F00782"/>
    <w:rsid w:val="00F06E64"/>
    <w:rsid w:val="00F43F13"/>
    <w:rsid w:val="00F579F1"/>
    <w:rsid w:val="00F60379"/>
    <w:rsid w:val="00F8214F"/>
    <w:rsid w:val="00F85063"/>
    <w:rsid w:val="00F92CE1"/>
    <w:rsid w:val="00F93742"/>
    <w:rsid w:val="00F96414"/>
    <w:rsid w:val="00F96CDB"/>
    <w:rsid w:val="00FA0D6E"/>
    <w:rsid w:val="00FC0DA6"/>
    <w:rsid w:val="00FC2E76"/>
    <w:rsid w:val="00FC2F4E"/>
    <w:rsid w:val="00FC3CE3"/>
    <w:rsid w:val="00FC50D5"/>
    <w:rsid w:val="00FD1A2F"/>
    <w:rsid w:val="00FD714D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CA3C2"/>
  <w15:docId w15:val="{97B605A7-4BA3-411E-B005-0C1C821C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C5"/>
    <w:pPr>
      <w:widowControl w:val="0"/>
      <w:autoSpaceDE w:val="0"/>
      <w:autoSpaceDN w:val="0"/>
      <w:adjustRightInd w:val="0"/>
    </w:pPr>
    <w:rPr>
      <w:rFonts w:ascii="Courier" w:hAnsi="Courier"/>
      <w:color w:val="000000"/>
    </w:rPr>
  </w:style>
  <w:style w:type="paragraph" w:styleId="Heading1">
    <w:name w:val="heading 1"/>
    <w:basedOn w:val="Normal"/>
    <w:next w:val="Normal"/>
    <w:qFormat/>
    <w:rsid w:val="00B81EC5"/>
    <w:pPr>
      <w:keepNext/>
      <w:widowControl/>
      <w:ind w:left="360" w:right="-140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">
    <w:name w:val="Cell"/>
    <w:basedOn w:val="Normal"/>
    <w:rsid w:val="00B81EC5"/>
  </w:style>
  <w:style w:type="paragraph" w:customStyle="1" w:styleId="Footnote">
    <w:name w:val="Footnote"/>
    <w:basedOn w:val="Normal"/>
    <w:rsid w:val="00B81EC5"/>
  </w:style>
  <w:style w:type="paragraph" w:customStyle="1" w:styleId="HdrFtr">
    <w:name w:val="HdrFtr"/>
    <w:basedOn w:val="Normal"/>
    <w:rsid w:val="00B81EC5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sid w:val="00B81EC5"/>
    <w:rPr>
      <w:color w:val="0000FF"/>
      <w:u w:val="single"/>
    </w:rPr>
  </w:style>
  <w:style w:type="paragraph" w:styleId="BlockText">
    <w:name w:val="Block Text"/>
    <w:basedOn w:val="Normal"/>
    <w:rsid w:val="00B81EC5"/>
    <w:pPr>
      <w:widowControl/>
      <w:ind w:left="180" w:right="180"/>
    </w:pPr>
    <w:rPr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004B1"/>
    <w:pPr>
      <w:widowControl/>
      <w:autoSpaceDE/>
      <w:autoSpaceDN/>
      <w:adjustRightInd/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paragraph" w:styleId="Footer">
    <w:name w:val="footer"/>
    <w:basedOn w:val="Normal"/>
    <w:link w:val="FooterChar"/>
    <w:rsid w:val="00B1677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napToGrid w:val="0"/>
      <w:color w:val="auto"/>
    </w:rPr>
  </w:style>
  <w:style w:type="character" w:customStyle="1" w:styleId="FooterChar">
    <w:name w:val="Footer Char"/>
    <w:basedOn w:val="DefaultParagraphFont"/>
    <w:link w:val="Footer"/>
    <w:rsid w:val="00B1677C"/>
    <w:rPr>
      <w:rFonts w:ascii="Arial" w:hAnsi="Arial" w:cs="Arial"/>
      <w:snapToGrid w:val="0"/>
    </w:rPr>
  </w:style>
  <w:style w:type="paragraph" w:customStyle="1" w:styleId="axNormal">
    <w:name w:val="axNormal"/>
    <w:link w:val="axNormalChar"/>
    <w:rsid w:val="00B1677C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character" w:customStyle="1" w:styleId="axNormalChar">
    <w:name w:val="axNormal Char"/>
    <w:basedOn w:val="DefaultParagraphFont"/>
    <w:link w:val="axNormal"/>
    <w:rsid w:val="00B1677C"/>
    <w:rPr>
      <w:rFonts w:ascii="Times" w:hAnsi="Times" w:cs="Times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4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05D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363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F56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ax2170af.aw</vt:lpstr>
    </vt:vector>
  </TitlesOfParts>
  <Company>USDA Forest Service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ax2170af.aw</dc:title>
  <dc:subject/>
  <dc:creator>ggire</dc:creator>
  <cp:keywords/>
  <dc:description/>
  <cp:lastModifiedBy>Marin Chambers</cp:lastModifiedBy>
  <cp:revision>2</cp:revision>
  <cp:lastPrinted>2018-10-01T13:01:00Z</cp:lastPrinted>
  <dcterms:created xsi:type="dcterms:W3CDTF">2018-11-07T21:39:00Z</dcterms:created>
  <dcterms:modified xsi:type="dcterms:W3CDTF">2018-11-07T21:39:00Z</dcterms:modified>
</cp:coreProperties>
</file>