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A4AC" w14:textId="04AA97F9" w:rsidR="00B665F3" w:rsidRDefault="005D62D7" w:rsidP="009E493E">
      <w:pPr>
        <w:pStyle w:val="Heading1"/>
      </w:pPr>
      <w:r w:rsidRPr="005D62D7">
        <w:t xml:space="preserve">SBEADMR </w:t>
      </w:r>
      <w:r w:rsidR="00234563">
        <w:t>Science Team</w:t>
      </w:r>
      <w:r w:rsidRPr="005D62D7">
        <w:t xml:space="preserve"> 20</w:t>
      </w:r>
      <w:r w:rsidR="00AE068E">
        <w:t>20</w:t>
      </w:r>
      <w:r w:rsidRPr="005D62D7">
        <w:t xml:space="preserve"> summary report</w:t>
      </w:r>
    </w:p>
    <w:p w14:paraId="1F94EDD9" w14:textId="1E0C0C16" w:rsidR="007E5D8F" w:rsidRPr="007E5D8F" w:rsidRDefault="007E5D8F" w:rsidP="007E5D8F">
      <w:r>
        <w:t>February 12, 2021</w:t>
      </w:r>
    </w:p>
    <w:p w14:paraId="5A611261" w14:textId="77777777" w:rsidR="005D62D7" w:rsidRDefault="005D62D7" w:rsidP="005D62D7">
      <w:pPr>
        <w:jc w:val="center"/>
        <w:rPr>
          <w:b/>
        </w:rPr>
      </w:pPr>
    </w:p>
    <w:p w14:paraId="161B8893" w14:textId="68D44509" w:rsidR="006D189E" w:rsidRDefault="006D189E" w:rsidP="009E493E">
      <w:pPr>
        <w:pStyle w:val="Heading2"/>
      </w:pPr>
      <w:r w:rsidRPr="00234563">
        <w:t>Impacts of spruce bark beetle and subsequent salvage in Engelmann spruce and Engelmann spruce-aspen forests on forest structure and tree regeneration</w:t>
      </w:r>
      <w:r w:rsidR="00181CF9" w:rsidRPr="00234563">
        <w:t>.</w:t>
      </w:r>
    </w:p>
    <w:p w14:paraId="32694B01" w14:textId="77777777" w:rsidR="009E493E" w:rsidRPr="009E493E" w:rsidRDefault="009E493E" w:rsidP="009E493E"/>
    <w:p w14:paraId="7190601D" w14:textId="6296B571" w:rsidR="009E493E" w:rsidRPr="009E493E" w:rsidRDefault="009E493E" w:rsidP="009E493E">
      <w:pPr>
        <w:pStyle w:val="Heading3"/>
      </w:pPr>
      <w:r>
        <w:t>What did we do in 2020?</w:t>
      </w:r>
    </w:p>
    <w:p w14:paraId="39532D5E" w14:textId="0F6B07C9" w:rsidR="00181CF9" w:rsidRDefault="00181CF9" w:rsidP="000A3E60">
      <w:pPr>
        <w:pStyle w:val="ListParagraph"/>
        <w:numPr>
          <w:ilvl w:val="0"/>
          <w:numId w:val="5"/>
        </w:numPr>
        <w:spacing w:after="0"/>
      </w:pPr>
      <w:r>
        <w:t>Sampled 4</w:t>
      </w:r>
      <w:r w:rsidR="00AE068E">
        <w:t>5</w:t>
      </w:r>
      <w:r>
        <w:t xml:space="preserve"> plots.</w:t>
      </w:r>
    </w:p>
    <w:tbl>
      <w:tblPr>
        <w:tblStyle w:val="TableGrid"/>
        <w:tblW w:w="9525" w:type="dxa"/>
        <w:tblLook w:val="04A0" w:firstRow="1" w:lastRow="0" w:firstColumn="1" w:lastColumn="0" w:noHBand="0" w:noVBand="1"/>
      </w:tblPr>
      <w:tblGrid>
        <w:gridCol w:w="1914"/>
        <w:gridCol w:w="1830"/>
        <w:gridCol w:w="1856"/>
        <w:gridCol w:w="2031"/>
        <w:gridCol w:w="1894"/>
      </w:tblGrid>
      <w:tr w:rsidR="006D189E" w:rsidRPr="006D189E" w14:paraId="0B86614F" w14:textId="77777777" w:rsidTr="00056DE3">
        <w:trPr>
          <w:trHeight w:val="176"/>
        </w:trPr>
        <w:tc>
          <w:tcPr>
            <w:tcW w:w="1914" w:type="dxa"/>
          </w:tcPr>
          <w:p w14:paraId="4700514E" w14:textId="77777777" w:rsidR="006D189E" w:rsidRPr="006D189E" w:rsidRDefault="006D189E" w:rsidP="00056DE3">
            <w:pPr>
              <w:rPr>
                <w:sz w:val="22"/>
              </w:rPr>
            </w:pPr>
          </w:p>
        </w:tc>
        <w:tc>
          <w:tcPr>
            <w:tcW w:w="1830" w:type="dxa"/>
          </w:tcPr>
          <w:p w14:paraId="723BF539" w14:textId="77777777" w:rsidR="006D189E" w:rsidRPr="006D189E" w:rsidRDefault="006D189E" w:rsidP="00056DE3">
            <w:pPr>
              <w:rPr>
                <w:sz w:val="22"/>
              </w:rPr>
            </w:pPr>
            <w:r w:rsidRPr="006D189E">
              <w:rPr>
                <w:sz w:val="22"/>
              </w:rPr>
              <w:t>Control</w:t>
            </w:r>
          </w:p>
        </w:tc>
        <w:tc>
          <w:tcPr>
            <w:tcW w:w="1856" w:type="dxa"/>
          </w:tcPr>
          <w:p w14:paraId="013B8E63" w14:textId="77777777" w:rsidR="006D189E" w:rsidRPr="006D189E" w:rsidRDefault="006D189E" w:rsidP="00056DE3">
            <w:pPr>
              <w:rPr>
                <w:sz w:val="22"/>
              </w:rPr>
            </w:pPr>
            <w:r w:rsidRPr="006D189E">
              <w:rPr>
                <w:sz w:val="22"/>
              </w:rPr>
              <w:t>Harvest-Control</w:t>
            </w:r>
          </w:p>
        </w:tc>
        <w:tc>
          <w:tcPr>
            <w:tcW w:w="2031" w:type="dxa"/>
          </w:tcPr>
          <w:p w14:paraId="64D2170C" w14:textId="77777777" w:rsidR="006D189E" w:rsidRPr="006D189E" w:rsidRDefault="006D189E" w:rsidP="00056DE3">
            <w:pPr>
              <w:rPr>
                <w:sz w:val="22"/>
              </w:rPr>
            </w:pPr>
            <w:r w:rsidRPr="006D189E">
              <w:rPr>
                <w:sz w:val="22"/>
              </w:rPr>
              <w:t>Salvage</w:t>
            </w:r>
          </w:p>
        </w:tc>
        <w:tc>
          <w:tcPr>
            <w:tcW w:w="1894" w:type="dxa"/>
          </w:tcPr>
          <w:p w14:paraId="6ACB1235" w14:textId="77777777" w:rsidR="006D189E" w:rsidRPr="006D189E" w:rsidRDefault="006D189E" w:rsidP="00056DE3">
            <w:pPr>
              <w:rPr>
                <w:sz w:val="22"/>
              </w:rPr>
            </w:pPr>
            <w:r w:rsidRPr="006D189E">
              <w:rPr>
                <w:sz w:val="22"/>
              </w:rPr>
              <w:t>Total</w:t>
            </w:r>
          </w:p>
        </w:tc>
      </w:tr>
      <w:tr w:rsidR="006D189E" w:rsidRPr="006D189E" w14:paraId="358FB694" w14:textId="77777777" w:rsidTr="00056DE3">
        <w:trPr>
          <w:trHeight w:val="176"/>
        </w:trPr>
        <w:tc>
          <w:tcPr>
            <w:tcW w:w="1914" w:type="dxa"/>
          </w:tcPr>
          <w:p w14:paraId="3D4FD676" w14:textId="77777777" w:rsidR="006D189E" w:rsidRPr="006D189E" w:rsidRDefault="006D189E" w:rsidP="00056DE3">
            <w:pPr>
              <w:rPr>
                <w:sz w:val="22"/>
              </w:rPr>
            </w:pPr>
            <w:r w:rsidRPr="006D189E">
              <w:rPr>
                <w:sz w:val="22"/>
              </w:rPr>
              <w:t>Spruce</w:t>
            </w:r>
          </w:p>
        </w:tc>
        <w:tc>
          <w:tcPr>
            <w:tcW w:w="1830" w:type="dxa"/>
          </w:tcPr>
          <w:p w14:paraId="3AE340A3" w14:textId="77777777" w:rsidR="006D189E" w:rsidRPr="006D189E" w:rsidRDefault="006D189E" w:rsidP="00056DE3">
            <w:pPr>
              <w:rPr>
                <w:sz w:val="22"/>
              </w:rPr>
            </w:pPr>
            <w:r w:rsidRPr="006D189E">
              <w:rPr>
                <w:sz w:val="22"/>
              </w:rPr>
              <w:t>7</w:t>
            </w:r>
          </w:p>
        </w:tc>
        <w:tc>
          <w:tcPr>
            <w:tcW w:w="1856" w:type="dxa"/>
          </w:tcPr>
          <w:p w14:paraId="3B3389E7" w14:textId="77777777" w:rsidR="006D189E" w:rsidRPr="006D189E" w:rsidRDefault="006D189E" w:rsidP="00056DE3">
            <w:pPr>
              <w:rPr>
                <w:sz w:val="22"/>
              </w:rPr>
            </w:pPr>
            <w:r w:rsidRPr="006D189E">
              <w:rPr>
                <w:sz w:val="22"/>
              </w:rPr>
              <w:t>11</w:t>
            </w:r>
          </w:p>
        </w:tc>
        <w:tc>
          <w:tcPr>
            <w:tcW w:w="2031" w:type="dxa"/>
          </w:tcPr>
          <w:p w14:paraId="433E30D8" w14:textId="77777777" w:rsidR="006D189E" w:rsidRPr="006D189E" w:rsidRDefault="006D189E" w:rsidP="00056DE3">
            <w:pPr>
              <w:rPr>
                <w:sz w:val="22"/>
              </w:rPr>
            </w:pPr>
            <w:r w:rsidRPr="006D189E">
              <w:rPr>
                <w:sz w:val="22"/>
              </w:rPr>
              <w:t>9</w:t>
            </w:r>
          </w:p>
        </w:tc>
        <w:tc>
          <w:tcPr>
            <w:tcW w:w="1894" w:type="dxa"/>
          </w:tcPr>
          <w:p w14:paraId="43E4A4B6" w14:textId="77777777" w:rsidR="006D189E" w:rsidRPr="006D189E" w:rsidRDefault="006D189E" w:rsidP="00056DE3">
            <w:pPr>
              <w:rPr>
                <w:sz w:val="22"/>
              </w:rPr>
            </w:pPr>
            <w:r w:rsidRPr="006D189E">
              <w:rPr>
                <w:sz w:val="22"/>
              </w:rPr>
              <w:t>27</w:t>
            </w:r>
          </w:p>
        </w:tc>
      </w:tr>
      <w:tr w:rsidR="006D189E" w:rsidRPr="006D189E" w14:paraId="3731F094" w14:textId="77777777" w:rsidTr="00056DE3">
        <w:trPr>
          <w:trHeight w:val="355"/>
        </w:trPr>
        <w:tc>
          <w:tcPr>
            <w:tcW w:w="1914" w:type="dxa"/>
          </w:tcPr>
          <w:p w14:paraId="655C2B26" w14:textId="77777777" w:rsidR="006D189E" w:rsidRPr="006D189E" w:rsidRDefault="006D189E" w:rsidP="00056DE3">
            <w:pPr>
              <w:rPr>
                <w:sz w:val="22"/>
              </w:rPr>
            </w:pPr>
            <w:r w:rsidRPr="006D189E">
              <w:rPr>
                <w:sz w:val="22"/>
              </w:rPr>
              <w:t>Spruce/Aspen</w:t>
            </w:r>
          </w:p>
        </w:tc>
        <w:tc>
          <w:tcPr>
            <w:tcW w:w="1830" w:type="dxa"/>
          </w:tcPr>
          <w:p w14:paraId="1BF0336A" w14:textId="77777777" w:rsidR="006D189E" w:rsidRPr="006D189E" w:rsidRDefault="006D189E" w:rsidP="00056DE3">
            <w:pPr>
              <w:rPr>
                <w:sz w:val="22"/>
              </w:rPr>
            </w:pPr>
            <w:r w:rsidRPr="006D189E">
              <w:rPr>
                <w:sz w:val="22"/>
              </w:rPr>
              <w:t>4</w:t>
            </w:r>
          </w:p>
        </w:tc>
        <w:tc>
          <w:tcPr>
            <w:tcW w:w="1856" w:type="dxa"/>
          </w:tcPr>
          <w:p w14:paraId="68F11E7B" w14:textId="77777777" w:rsidR="006D189E" w:rsidRPr="006D189E" w:rsidRDefault="006D189E" w:rsidP="00056DE3">
            <w:pPr>
              <w:rPr>
                <w:sz w:val="22"/>
              </w:rPr>
            </w:pPr>
            <w:r w:rsidRPr="006D189E">
              <w:rPr>
                <w:sz w:val="22"/>
              </w:rPr>
              <w:t>9</w:t>
            </w:r>
          </w:p>
        </w:tc>
        <w:tc>
          <w:tcPr>
            <w:tcW w:w="2031" w:type="dxa"/>
          </w:tcPr>
          <w:p w14:paraId="052B3EA3" w14:textId="77777777" w:rsidR="006D189E" w:rsidRPr="006D189E" w:rsidRDefault="006D189E" w:rsidP="00056DE3">
            <w:pPr>
              <w:rPr>
                <w:sz w:val="22"/>
              </w:rPr>
            </w:pPr>
            <w:r w:rsidRPr="006D189E">
              <w:rPr>
                <w:sz w:val="22"/>
              </w:rPr>
              <w:t xml:space="preserve">5 </w:t>
            </w:r>
          </w:p>
        </w:tc>
        <w:tc>
          <w:tcPr>
            <w:tcW w:w="1894" w:type="dxa"/>
          </w:tcPr>
          <w:p w14:paraId="670EA08B" w14:textId="77777777" w:rsidR="006D189E" w:rsidRPr="006D189E" w:rsidRDefault="006D189E" w:rsidP="00056DE3">
            <w:pPr>
              <w:rPr>
                <w:sz w:val="22"/>
              </w:rPr>
            </w:pPr>
            <w:r w:rsidRPr="006D189E">
              <w:rPr>
                <w:sz w:val="22"/>
              </w:rPr>
              <w:t>18</w:t>
            </w:r>
          </w:p>
        </w:tc>
      </w:tr>
    </w:tbl>
    <w:p w14:paraId="11E72FD1" w14:textId="77777777" w:rsidR="006D189E" w:rsidRDefault="006D189E" w:rsidP="006D189E">
      <w:pPr>
        <w:pStyle w:val="ListParagraph"/>
        <w:numPr>
          <w:ilvl w:val="0"/>
          <w:numId w:val="4"/>
        </w:numPr>
        <w:spacing w:after="0" w:line="240" w:lineRule="auto"/>
      </w:pPr>
      <w:r>
        <w:t xml:space="preserve">Snowshoe hare scat </w:t>
      </w:r>
    </w:p>
    <w:p w14:paraId="6D22146E" w14:textId="77777777" w:rsidR="006D189E" w:rsidRDefault="006D189E" w:rsidP="006D189E">
      <w:pPr>
        <w:pStyle w:val="ListParagraph"/>
        <w:numPr>
          <w:ilvl w:val="0"/>
          <w:numId w:val="4"/>
        </w:numPr>
        <w:spacing w:after="0" w:line="240" w:lineRule="auto"/>
      </w:pPr>
      <w:r>
        <w:t>Downloaded temperature sensors (belowground, ground-level, above-ground)</w:t>
      </w:r>
    </w:p>
    <w:p w14:paraId="5D0372BC" w14:textId="336978CB" w:rsidR="00181CF9" w:rsidRDefault="006D189E" w:rsidP="000A3E60">
      <w:pPr>
        <w:pStyle w:val="ListParagraph"/>
        <w:numPr>
          <w:ilvl w:val="0"/>
          <w:numId w:val="4"/>
        </w:numPr>
        <w:spacing w:after="0" w:line="240" w:lineRule="auto"/>
      </w:pPr>
      <w:r>
        <w:t xml:space="preserve">Collected Seed traps collected from </w:t>
      </w:r>
      <w:r w:rsidR="00AE068E">
        <w:t>23</w:t>
      </w:r>
      <w:r>
        <w:t xml:space="preserve"> of those 45 </w:t>
      </w:r>
      <w:proofErr w:type="gramStart"/>
      <w:r>
        <w:t>plots</w:t>
      </w:r>
      <w:proofErr w:type="gramEnd"/>
    </w:p>
    <w:p w14:paraId="704BE380" w14:textId="703E8F55" w:rsidR="00BC691C" w:rsidRDefault="00BC691C" w:rsidP="00BC691C">
      <w:pPr>
        <w:spacing w:after="0" w:line="240" w:lineRule="auto"/>
      </w:pPr>
    </w:p>
    <w:p w14:paraId="59F08BDB" w14:textId="09721575" w:rsidR="00BC691C" w:rsidRDefault="00BC691C" w:rsidP="00BC691C">
      <w:pPr>
        <w:spacing w:after="0" w:line="240" w:lineRule="auto"/>
      </w:pPr>
      <w:r>
        <w:t>2) Pre-treatment plots in green tree resiliency treatments (Rainbow)</w:t>
      </w:r>
    </w:p>
    <w:p w14:paraId="78ADE5AB" w14:textId="5565B2DB" w:rsidR="00BC691C" w:rsidRDefault="00BC691C" w:rsidP="00BC691C">
      <w:pPr>
        <w:pStyle w:val="ListParagraph"/>
        <w:numPr>
          <w:ilvl w:val="0"/>
          <w:numId w:val="14"/>
        </w:numPr>
        <w:spacing w:after="0" w:line="240" w:lineRule="auto"/>
      </w:pPr>
      <w:r>
        <w:t>6 small groups (0.2 – 0.3 acres)</w:t>
      </w:r>
    </w:p>
    <w:p w14:paraId="398B4F41" w14:textId="19F66859" w:rsidR="00BC691C" w:rsidRDefault="00BC691C" w:rsidP="00BC691C">
      <w:pPr>
        <w:pStyle w:val="ListParagraph"/>
        <w:numPr>
          <w:ilvl w:val="0"/>
          <w:numId w:val="14"/>
        </w:numPr>
        <w:spacing w:after="0" w:line="240" w:lineRule="auto"/>
      </w:pPr>
      <w:r>
        <w:t>6 large groups (&gt; 0.5 acres)</w:t>
      </w:r>
    </w:p>
    <w:p w14:paraId="7DD349F8" w14:textId="04A98C00" w:rsidR="00BC691C" w:rsidRDefault="167B75CD" w:rsidP="00BC691C">
      <w:pPr>
        <w:pStyle w:val="ListParagraph"/>
        <w:numPr>
          <w:ilvl w:val="0"/>
          <w:numId w:val="14"/>
        </w:numPr>
        <w:spacing w:after="0" w:line="240" w:lineRule="auto"/>
      </w:pPr>
      <w:r>
        <w:t>6 control</w:t>
      </w:r>
    </w:p>
    <w:p w14:paraId="525031E9" w14:textId="1667DEE0" w:rsidR="167B75CD" w:rsidRDefault="167B75CD" w:rsidP="167B75CD">
      <w:pPr>
        <w:pStyle w:val="ListParagraph"/>
        <w:numPr>
          <w:ilvl w:val="0"/>
          <w:numId w:val="14"/>
        </w:numPr>
        <w:spacing w:after="0" w:line="240" w:lineRule="auto"/>
      </w:pPr>
      <w:r>
        <w:t xml:space="preserve">Measurements </w:t>
      </w:r>
      <w:proofErr w:type="gramStart"/>
      <w:r>
        <w:t>include</w:t>
      </w:r>
      <w:proofErr w:type="gramEnd"/>
    </w:p>
    <w:p w14:paraId="693CD74D" w14:textId="424064A9" w:rsidR="167B75CD" w:rsidRDefault="167B75CD" w:rsidP="167B75CD">
      <w:pPr>
        <w:pStyle w:val="ListParagraph"/>
        <w:numPr>
          <w:ilvl w:val="1"/>
          <w:numId w:val="14"/>
        </w:numPr>
        <w:spacing w:after="0" w:line="240" w:lineRule="auto"/>
      </w:pPr>
      <w:r>
        <w:t>Forest structure and composition</w:t>
      </w:r>
    </w:p>
    <w:p w14:paraId="4D885008" w14:textId="5178026A" w:rsidR="167B75CD" w:rsidRDefault="167B75CD" w:rsidP="167B75CD">
      <w:pPr>
        <w:pStyle w:val="ListParagraph"/>
        <w:numPr>
          <w:ilvl w:val="1"/>
          <w:numId w:val="14"/>
        </w:numPr>
        <w:spacing w:after="0" w:line="240" w:lineRule="auto"/>
      </w:pPr>
      <w:r>
        <w:t>Seedling inventory</w:t>
      </w:r>
    </w:p>
    <w:p w14:paraId="79F1D85A" w14:textId="6A01505E" w:rsidR="167B75CD" w:rsidRDefault="167B75CD" w:rsidP="167B75CD">
      <w:pPr>
        <w:pStyle w:val="ListParagraph"/>
        <w:numPr>
          <w:ilvl w:val="1"/>
          <w:numId w:val="14"/>
        </w:numPr>
        <w:spacing w:after="0" w:line="240" w:lineRule="auto"/>
      </w:pPr>
      <w:r>
        <w:t>Coarse Woody Fuels</w:t>
      </w:r>
    </w:p>
    <w:p w14:paraId="3B020AB6" w14:textId="57B6ADAE" w:rsidR="167B75CD" w:rsidRDefault="167B75CD" w:rsidP="167B75CD">
      <w:pPr>
        <w:pStyle w:val="ListParagraph"/>
        <w:numPr>
          <w:ilvl w:val="1"/>
          <w:numId w:val="14"/>
        </w:numPr>
        <w:spacing w:after="0" w:line="240" w:lineRule="auto"/>
      </w:pPr>
      <w:r>
        <w:t>Litter/Duff</w:t>
      </w:r>
    </w:p>
    <w:p w14:paraId="597C7401" w14:textId="0C4B929B" w:rsidR="167B75CD" w:rsidRDefault="167B75CD" w:rsidP="167B75CD">
      <w:pPr>
        <w:pStyle w:val="ListParagraph"/>
        <w:numPr>
          <w:ilvl w:val="1"/>
          <w:numId w:val="14"/>
        </w:numPr>
        <w:spacing w:after="0" w:line="240" w:lineRule="auto"/>
      </w:pPr>
      <w:r>
        <w:t>Snowshoe hare scat</w:t>
      </w:r>
    </w:p>
    <w:p w14:paraId="2B3A60AC" w14:textId="77777777" w:rsidR="00BC691C" w:rsidRDefault="00BC691C" w:rsidP="00BC691C">
      <w:pPr>
        <w:spacing w:after="0" w:line="240" w:lineRule="auto"/>
      </w:pPr>
    </w:p>
    <w:p w14:paraId="68557F1F" w14:textId="77777777" w:rsidR="000A3E60" w:rsidRDefault="000A3E60" w:rsidP="009E493E">
      <w:pPr>
        <w:pStyle w:val="Heading3"/>
      </w:pPr>
      <w:r w:rsidRPr="000A3E60">
        <w:t>New results</w:t>
      </w:r>
    </w:p>
    <w:p w14:paraId="32FAA686" w14:textId="77777777" w:rsidR="000A3E60" w:rsidRPr="0084005D" w:rsidRDefault="000A3E60" w:rsidP="000A3E60">
      <w:pPr>
        <w:pStyle w:val="ListParagraph"/>
        <w:numPr>
          <w:ilvl w:val="0"/>
          <w:numId w:val="7"/>
        </w:numPr>
        <w:rPr>
          <w:b/>
        </w:rPr>
      </w:pPr>
      <w:r>
        <w:t xml:space="preserve">Spruce dominated </w:t>
      </w:r>
      <w:proofErr w:type="gramStart"/>
      <w:r>
        <w:t>stands</w:t>
      </w:r>
      <w:proofErr w:type="gramEnd"/>
    </w:p>
    <w:p w14:paraId="54D3297C" w14:textId="77777777" w:rsidR="000A3E60" w:rsidRDefault="000A3E60" w:rsidP="000A3E60">
      <w:pPr>
        <w:pStyle w:val="ListParagraph"/>
        <w:numPr>
          <w:ilvl w:val="1"/>
          <w:numId w:val="7"/>
        </w:numPr>
        <w:spacing w:after="0" w:line="240" w:lineRule="auto"/>
      </w:pPr>
      <w:r>
        <w:t xml:space="preserve">Seed production </w:t>
      </w:r>
    </w:p>
    <w:p w14:paraId="43EB6CD6" w14:textId="437E604A" w:rsidR="000A3E60" w:rsidRDefault="000A3E60" w:rsidP="000A3E60">
      <w:pPr>
        <w:pStyle w:val="ListParagraph"/>
        <w:numPr>
          <w:ilvl w:val="2"/>
          <w:numId w:val="7"/>
        </w:numPr>
        <w:spacing w:after="0" w:line="240" w:lineRule="auto"/>
      </w:pPr>
      <w:r w:rsidRPr="4AF4D490">
        <w:t xml:space="preserve">Previously managed sites averaged </w:t>
      </w:r>
      <w:r w:rsidR="00AE068E">
        <w:t>7</w:t>
      </w:r>
      <w:r w:rsidRPr="4AF4D490">
        <w:t xml:space="preserve"> seeds per plot, unmanaged </w:t>
      </w:r>
      <w:r w:rsidR="00AE068E">
        <w:t>6</w:t>
      </w:r>
      <w:r w:rsidRPr="4AF4D490">
        <w:t xml:space="preserve"> seeds per plot, and salvage </w:t>
      </w:r>
      <w:r w:rsidR="00AE068E">
        <w:t>7</w:t>
      </w:r>
      <w:r w:rsidRPr="4AF4D490">
        <w:t xml:space="preserve"> seeds per plot in 20</w:t>
      </w:r>
      <w:r w:rsidR="00AE068E">
        <w:t>20.</w:t>
      </w:r>
    </w:p>
    <w:p w14:paraId="6240D823" w14:textId="29200116" w:rsidR="00AE068E" w:rsidRDefault="00AE068E" w:rsidP="00AE068E">
      <w:pPr>
        <w:pStyle w:val="ListParagraph"/>
        <w:numPr>
          <w:ilvl w:val="3"/>
          <w:numId w:val="7"/>
        </w:numPr>
        <w:spacing w:after="0" w:line="240" w:lineRule="auto"/>
      </w:pPr>
      <w:r>
        <w:t>These numbers are much lower than 2019 (61, 28, and 33 seeds/plot, respectively) and comparable to 2018 (6, 2, &lt;1 seeds/plot, respectively)</w:t>
      </w:r>
    </w:p>
    <w:p w14:paraId="39BB3212" w14:textId="7F073D7D" w:rsidR="000A3E60" w:rsidRPr="00AE068E" w:rsidRDefault="000A3E60" w:rsidP="000A3E60">
      <w:pPr>
        <w:pStyle w:val="ListParagraph"/>
        <w:numPr>
          <w:ilvl w:val="2"/>
          <w:numId w:val="7"/>
        </w:numPr>
        <w:spacing w:after="0" w:line="240" w:lineRule="auto"/>
        <w:rPr>
          <w:color w:val="000000" w:themeColor="text1"/>
        </w:rPr>
      </w:pPr>
      <w:r w:rsidRPr="00AE068E">
        <w:rPr>
          <w:color w:val="000000" w:themeColor="text1"/>
        </w:rPr>
        <w:t>No statistically significant differences between treatments in 20</w:t>
      </w:r>
      <w:r w:rsidR="00AE068E" w:rsidRPr="00AE068E">
        <w:rPr>
          <w:color w:val="000000" w:themeColor="text1"/>
        </w:rPr>
        <w:t>20</w:t>
      </w:r>
    </w:p>
    <w:p w14:paraId="15AC8A8F" w14:textId="77777777" w:rsidR="000A3E60" w:rsidRPr="00214EA7" w:rsidRDefault="000A3E60" w:rsidP="000A3E60">
      <w:pPr>
        <w:pStyle w:val="ListParagraph"/>
        <w:numPr>
          <w:ilvl w:val="1"/>
          <w:numId w:val="7"/>
        </w:numPr>
        <w:spacing w:after="0" w:line="240" w:lineRule="auto"/>
        <w:rPr>
          <w:color w:val="000000" w:themeColor="text1"/>
        </w:rPr>
      </w:pPr>
      <w:r w:rsidRPr="00214EA7">
        <w:rPr>
          <w:color w:val="000000" w:themeColor="text1"/>
        </w:rPr>
        <w:t xml:space="preserve">Snowshoe hare density </w:t>
      </w:r>
    </w:p>
    <w:p w14:paraId="174C45E7" w14:textId="08BA0D03" w:rsidR="000A3E60" w:rsidRPr="00214EA7" w:rsidRDefault="000A3E60" w:rsidP="000A3E60">
      <w:pPr>
        <w:pStyle w:val="ListParagraph"/>
        <w:numPr>
          <w:ilvl w:val="2"/>
          <w:numId w:val="7"/>
        </w:numPr>
        <w:spacing w:after="0" w:line="240" w:lineRule="auto"/>
        <w:rPr>
          <w:color w:val="000000" w:themeColor="text1"/>
        </w:rPr>
      </w:pPr>
      <w:r w:rsidRPr="00214EA7">
        <w:rPr>
          <w:color w:val="000000" w:themeColor="text1"/>
        </w:rPr>
        <w:t>highest in unmanaged (0.1</w:t>
      </w:r>
      <w:r w:rsidR="00214EA7" w:rsidRPr="00214EA7">
        <w:rPr>
          <w:color w:val="000000" w:themeColor="text1"/>
        </w:rPr>
        <w:t>9</w:t>
      </w:r>
      <w:r w:rsidRPr="00214EA7">
        <w:rPr>
          <w:color w:val="000000" w:themeColor="text1"/>
        </w:rPr>
        <w:t xml:space="preserve"> hare/ha), followed by previously managed (0.1</w:t>
      </w:r>
      <w:r w:rsidR="00214EA7" w:rsidRPr="00214EA7">
        <w:rPr>
          <w:color w:val="000000" w:themeColor="text1"/>
        </w:rPr>
        <w:t>3</w:t>
      </w:r>
      <w:r w:rsidRPr="00214EA7">
        <w:rPr>
          <w:color w:val="000000" w:themeColor="text1"/>
        </w:rPr>
        <w:t xml:space="preserve"> hare/ha), and salvaged (0.0</w:t>
      </w:r>
      <w:r w:rsidR="00214EA7" w:rsidRPr="00214EA7">
        <w:rPr>
          <w:color w:val="000000" w:themeColor="text1"/>
        </w:rPr>
        <w:t>07</w:t>
      </w:r>
      <w:r w:rsidRPr="00214EA7">
        <w:rPr>
          <w:color w:val="000000" w:themeColor="text1"/>
        </w:rPr>
        <w:t xml:space="preserve"> hare/ha)</w:t>
      </w:r>
    </w:p>
    <w:p w14:paraId="64225A00" w14:textId="4C40BB1C" w:rsidR="000A3E60" w:rsidRPr="00214EA7" w:rsidRDefault="00214EA7" w:rsidP="000A3E60">
      <w:pPr>
        <w:pStyle w:val="ListParagraph"/>
        <w:numPr>
          <w:ilvl w:val="2"/>
          <w:numId w:val="7"/>
        </w:numPr>
        <w:spacing w:after="0" w:line="240" w:lineRule="auto"/>
        <w:rPr>
          <w:color w:val="000000" w:themeColor="text1"/>
        </w:rPr>
      </w:pPr>
      <w:r>
        <w:rPr>
          <w:color w:val="000000" w:themeColor="text1"/>
        </w:rPr>
        <w:t>Salvaged sites significantly different than unmanaged (p = 0.005) and previously managed (p = 0.012) sites</w:t>
      </w:r>
    </w:p>
    <w:p w14:paraId="14E39CDA" w14:textId="597D07D6" w:rsidR="000A3E60" w:rsidRPr="00214EA7" w:rsidRDefault="000A3E60" w:rsidP="000A3E60">
      <w:pPr>
        <w:pStyle w:val="ListParagraph"/>
        <w:numPr>
          <w:ilvl w:val="2"/>
          <w:numId w:val="7"/>
        </w:numPr>
        <w:rPr>
          <w:b/>
          <w:color w:val="000000" w:themeColor="text1"/>
        </w:rPr>
      </w:pPr>
      <w:proofErr w:type="gramStart"/>
      <w:r w:rsidRPr="00214EA7">
        <w:rPr>
          <w:color w:val="000000" w:themeColor="text1"/>
        </w:rPr>
        <w:t>Similar to</w:t>
      </w:r>
      <w:proofErr w:type="gramEnd"/>
      <w:r w:rsidRPr="00214EA7">
        <w:rPr>
          <w:color w:val="000000" w:themeColor="text1"/>
        </w:rPr>
        <w:t xml:space="preserve"> 2018</w:t>
      </w:r>
      <w:r w:rsidR="00214EA7" w:rsidRPr="00214EA7">
        <w:rPr>
          <w:color w:val="000000" w:themeColor="text1"/>
        </w:rPr>
        <w:t xml:space="preserve"> and 2019</w:t>
      </w:r>
      <w:r w:rsidRPr="00214EA7">
        <w:rPr>
          <w:color w:val="000000" w:themeColor="text1"/>
        </w:rPr>
        <w:t xml:space="preserve"> results</w:t>
      </w:r>
    </w:p>
    <w:p w14:paraId="7B050B6B" w14:textId="77777777" w:rsidR="000A3E60" w:rsidRPr="00214EA7" w:rsidRDefault="000A3E60" w:rsidP="000A3E60">
      <w:pPr>
        <w:pStyle w:val="ListParagraph"/>
        <w:numPr>
          <w:ilvl w:val="0"/>
          <w:numId w:val="7"/>
        </w:numPr>
        <w:rPr>
          <w:b/>
          <w:color w:val="000000" w:themeColor="text1"/>
        </w:rPr>
      </w:pPr>
      <w:r w:rsidRPr="00214EA7">
        <w:rPr>
          <w:color w:val="000000" w:themeColor="text1"/>
        </w:rPr>
        <w:t>Spruce-aspen dominated stands</w:t>
      </w:r>
    </w:p>
    <w:p w14:paraId="0B93F8DE" w14:textId="77777777" w:rsidR="000A3E60" w:rsidRPr="00214EA7" w:rsidRDefault="000A3E60" w:rsidP="000A3E60">
      <w:pPr>
        <w:pStyle w:val="ListParagraph"/>
        <w:numPr>
          <w:ilvl w:val="1"/>
          <w:numId w:val="7"/>
        </w:numPr>
        <w:rPr>
          <w:color w:val="000000" w:themeColor="text1"/>
        </w:rPr>
      </w:pPr>
      <w:r w:rsidRPr="00214EA7">
        <w:rPr>
          <w:color w:val="000000" w:themeColor="text1"/>
        </w:rPr>
        <w:t>Seed production</w:t>
      </w:r>
    </w:p>
    <w:p w14:paraId="46BF0CD4" w14:textId="18CA58C7" w:rsidR="000A3E60" w:rsidRDefault="000A3E60" w:rsidP="000A3E60">
      <w:pPr>
        <w:pStyle w:val="ListParagraph"/>
        <w:numPr>
          <w:ilvl w:val="2"/>
          <w:numId w:val="7"/>
        </w:numPr>
        <w:rPr>
          <w:color w:val="000000" w:themeColor="text1"/>
        </w:rPr>
      </w:pPr>
      <w:r w:rsidRPr="00AE068E">
        <w:rPr>
          <w:color w:val="000000" w:themeColor="text1"/>
        </w:rPr>
        <w:lastRenderedPageBreak/>
        <w:t xml:space="preserve">Previously managed sites averaged </w:t>
      </w:r>
      <w:r w:rsidR="00AE068E" w:rsidRPr="00AE068E">
        <w:rPr>
          <w:color w:val="000000" w:themeColor="text1"/>
        </w:rPr>
        <w:t>15</w:t>
      </w:r>
      <w:r w:rsidRPr="00AE068E">
        <w:rPr>
          <w:color w:val="000000" w:themeColor="text1"/>
        </w:rPr>
        <w:t xml:space="preserve"> seeds per plot, unmanaged </w:t>
      </w:r>
      <w:r w:rsidR="00AE068E" w:rsidRPr="00AE068E">
        <w:rPr>
          <w:color w:val="000000" w:themeColor="text1"/>
        </w:rPr>
        <w:t xml:space="preserve">21 </w:t>
      </w:r>
      <w:r w:rsidRPr="00AE068E">
        <w:rPr>
          <w:color w:val="000000" w:themeColor="text1"/>
        </w:rPr>
        <w:t xml:space="preserve">seeds per plot, and salvage </w:t>
      </w:r>
      <w:r w:rsidR="00AE068E" w:rsidRPr="00AE068E">
        <w:rPr>
          <w:color w:val="000000" w:themeColor="text1"/>
        </w:rPr>
        <w:t>6</w:t>
      </w:r>
      <w:r w:rsidRPr="00AE068E">
        <w:rPr>
          <w:color w:val="000000" w:themeColor="text1"/>
        </w:rPr>
        <w:t xml:space="preserve"> seeds per </w:t>
      </w:r>
      <w:proofErr w:type="gramStart"/>
      <w:r w:rsidRPr="00AE068E">
        <w:rPr>
          <w:color w:val="000000" w:themeColor="text1"/>
        </w:rPr>
        <w:t>plot</w:t>
      </w:r>
      <w:proofErr w:type="gramEnd"/>
    </w:p>
    <w:p w14:paraId="25BC7BE6" w14:textId="45A03541" w:rsidR="00AE068E" w:rsidRPr="00AE068E" w:rsidRDefault="00AE068E" w:rsidP="00AE068E">
      <w:pPr>
        <w:pStyle w:val="ListParagraph"/>
        <w:numPr>
          <w:ilvl w:val="3"/>
          <w:numId w:val="7"/>
        </w:numPr>
        <w:rPr>
          <w:color w:val="000000" w:themeColor="text1"/>
        </w:rPr>
      </w:pPr>
      <w:r>
        <w:rPr>
          <w:color w:val="000000" w:themeColor="text1"/>
        </w:rPr>
        <w:t>These numbers are lower than 2019 (49, 33, and 40 seeds/plot, respectively, and higher than 2018, where no seeds were found.</w:t>
      </w:r>
    </w:p>
    <w:p w14:paraId="2A5BF2FD" w14:textId="5EBD877E" w:rsidR="000A3E60" w:rsidRPr="00AE068E" w:rsidRDefault="000A3E60" w:rsidP="000A3E60">
      <w:pPr>
        <w:pStyle w:val="ListParagraph"/>
        <w:numPr>
          <w:ilvl w:val="2"/>
          <w:numId w:val="7"/>
        </w:numPr>
        <w:rPr>
          <w:b/>
          <w:color w:val="000000" w:themeColor="text1"/>
        </w:rPr>
      </w:pPr>
      <w:r w:rsidRPr="00AE068E">
        <w:rPr>
          <w:color w:val="000000" w:themeColor="text1"/>
        </w:rPr>
        <w:t>No statistically significant differences between treatments in 20</w:t>
      </w:r>
      <w:r w:rsidR="00AE068E" w:rsidRPr="00AE068E">
        <w:rPr>
          <w:color w:val="000000" w:themeColor="text1"/>
        </w:rPr>
        <w:t>20</w:t>
      </w:r>
    </w:p>
    <w:p w14:paraId="2485A2D0" w14:textId="77777777" w:rsidR="000A3E60" w:rsidRPr="00214EA7" w:rsidRDefault="000A3E60" w:rsidP="000A3E60">
      <w:pPr>
        <w:pStyle w:val="ListParagraph"/>
        <w:numPr>
          <w:ilvl w:val="1"/>
          <w:numId w:val="7"/>
        </w:numPr>
        <w:spacing w:after="0" w:line="240" w:lineRule="auto"/>
        <w:rPr>
          <w:color w:val="000000" w:themeColor="text1"/>
        </w:rPr>
      </w:pPr>
      <w:r w:rsidRPr="00214EA7">
        <w:rPr>
          <w:color w:val="000000" w:themeColor="text1"/>
        </w:rPr>
        <w:t xml:space="preserve">Snowshoe hare density </w:t>
      </w:r>
    </w:p>
    <w:p w14:paraId="5DE3288A" w14:textId="15CAA1D6" w:rsidR="00214EA7" w:rsidRPr="00214EA7" w:rsidRDefault="00214EA7" w:rsidP="00214EA7">
      <w:pPr>
        <w:pStyle w:val="ListParagraph"/>
        <w:numPr>
          <w:ilvl w:val="2"/>
          <w:numId w:val="7"/>
        </w:numPr>
        <w:spacing w:after="0" w:line="240" w:lineRule="auto"/>
        <w:rPr>
          <w:color w:val="000000" w:themeColor="text1"/>
        </w:rPr>
      </w:pPr>
      <w:r w:rsidRPr="00214EA7">
        <w:rPr>
          <w:color w:val="000000" w:themeColor="text1"/>
        </w:rPr>
        <w:t>In 2020, mean hare density highest in salvaged stands (0.27 hare/ha), followed by unmanaged stands (0.16 hare/ha), and previously managed stands (0.12 hare/ha).</w:t>
      </w:r>
    </w:p>
    <w:p w14:paraId="2BA39D70" w14:textId="1EF1EDCC" w:rsidR="00214EA7" w:rsidRPr="00214EA7" w:rsidRDefault="00214EA7" w:rsidP="00214EA7">
      <w:pPr>
        <w:pStyle w:val="ListParagraph"/>
        <w:numPr>
          <w:ilvl w:val="2"/>
          <w:numId w:val="7"/>
        </w:numPr>
        <w:spacing w:after="0" w:line="240" w:lineRule="auto"/>
        <w:rPr>
          <w:color w:val="000000" w:themeColor="text1"/>
        </w:rPr>
      </w:pPr>
      <w:r w:rsidRPr="00214EA7">
        <w:rPr>
          <w:color w:val="000000" w:themeColor="text1"/>
        </w:rPr>
        <w:t xml:space="preserve">This differs from </w:t>
      </w:r>
      <w:r w:rsidR="009D4031">
        <w:rPr>
          <w:color w:val="000000" w:themeColor="text1"/>
        </w:rPr>
        <w:t>previous</w:t>
      </w:r>
      <w:r w:rsidRPr="00214EA7">
        <w:rPr>
          <w:color w:val="000000" w:themeColor="text1"/>
        </w:rPr>
        <w:t xml:space="preserve"> </w:t>
      </w:r>
      <w:proofErr w:type="gramStart"/>
      <w:r w:rsidRPr="00214EA7">
        <w:rPr>
          <w:color w:val="000000" w:themeColor="text1"/>
        </w:rPr>
        <w:t>trends</w:t>
      </w:r>
      <w:proofErr w:type="gramEnd"/>
    </w:p>
    <w:p w14:paraId="35C3C34E" w14:textId="28974B56" w:rsidR="000A3E60" w:rsidRPr="00214EA7" w:rsidRDefault="000A3E60" w:rsidP="00214EA7">
      <w:pPr>
        <w:pStyle w:val="ListParagraph"/>
        <w:numPr>
          <w:ilvl w:val="3"/>
          <w:numId w:val="7"/>
        </w:numPr>
        <w:spacing w:after="0" w:line="240" w:lineRule="auto"/>
        <w:rPr>
          <w:color w:val="000000" w:themeColor="text1"/>
        </w:rPr>
      </w:pPr>
      <w:r w:rsidRPr="00214EA7">
        <w:rPr>
          <w:color w:val="000000" w:themeColor="text1"/>
        </w:rPr>
        <w:t>Mean hare density in</w:t>
      </w:r>
      <w:r w:rsidR="00214EA7" w:rsidRPr="00214EA7">
        <w:rPr>
          <w:color w:val="000000" w:themeColor="text1"/>
        </w:rPr>
        <w:t xml:space="preserve"> 2019 </w:t>
      </w:r>
      <w:r w:rsidRPr="00214EA7">
        <w:rPr>
          <w:color w:val="000000" w:themeColor="text1"/>
        </w:rPr>
        <w:t>highest in unmanaged stands (0.51 hare/ha), followed by previously managed (0.10 hare/ha), and salvage (0 hare/ha)</w:t>
      </w:r>
    </w:p>
    <w:p w14:paraId="5041E2BF" w14:textId="18CD49CE" w:rsidR="000A3E60" w:rsidRPr="00966BE0" w:rsidRDefault="00966BE0" w:rsidP="000A3E60">
      <w:pPr>
        <w:pStyle w:val="ListParagraph"/>
        <w:numPr>
          <w:ilvl w:val="2"/>
          <w:numId w:val="7"/>
        </w:numPr>
        <w:spacing w:after="0" w:line="240" w:lineRule="auto"/>
        <w:rPr>
          <w:color w:val="000000" w:themeColor="text1"/>
        </w:rPr>
      </w:pPr>
      <w:r w:rsidRPr="00966BE0">
        <w:rPr>
          <w:color w:val="000000" w:themeColor="text1"/>
        </w:rPr>
        <w:t>No statistical differences between sites</w:t>
      </w:r>
    </w:p>
    <w:p w14:paraId="0AA49494" w14:textId="77777777" w:rsidR="000A3E60" w:rsidRDefault="000A3E60" w:rsidP="000A3E60">
      <w:pPr>
        <w:spacing w:after="0" w:line="240" w:lineRule="auto"/>
        <w:ind w:left="360"/>
      </w:pPr>
    </w:p>
    <w:p w14:paraId="19F57453" w14:textId="77777777" w:rsidR="000A3E60" w:rsidRPr="00424E12" w:rsidRDefault="000A3E60" w:rsidP="000A3E60">
      <w:pPr>
        <w:spacing w:after="0" w:line="240" w:lineRule="auto"/>
        <w:rPr>
          <w:color w:val="C00000"/>
        </w:rPr>
      </w:pPr>
    </w:p>
    <w:p w14:paraId="787C660C" w14:textId="77777777" w:rsidR="005D62D7" w:rsidRPr="009D4031" w:rsidRDefault="00482408" w:rsidP="009E493E">
      <w:pPr>
        <w:pStyle w:val="Heading3"/>
      </w:pPr>
      <w:r w:rsidRPr="009D4031">
        <w:t>Interpretation of results for AMG</w:t>
      </w:r>
    </w:p>
    <w:p w14:paraId="006812EE" w14:textId="77777777" w:rsidR="008838AF" w:rsidRPr="008838AF" w:rsidRDefault="008838AF" w:rsidP="008838AF">
      <w:pPr>
        <w:rPr>
          <w:rStyle w:val="normaltextrun"/>
          <w:rFonts w:ascii="Calibri" w:hAnsi="Calibri" w:cs="Calibri"/>
        </w:rPr>
      </w:pPr>
      <w:r w:rsidRPr="008838AF">
        <w:rPr>
          <w:rStyle w:val="normaltextrun"/>
          <w:rFonts w:ascii="Calibri" w:hAnsi="Calibri" w:cs="Calibri"/>
        </w:rPr>
        <w:t>Over the past 3 years, seed production has varied.  This annual variability is to be expected as Engelmann spruce seed production is known to vary in space and time. While one year (2018 seed production year) is higher than the other two years, it is important to recognize that the treatments (unmanaged, previously harvested, and salvaged) had similar seeds per plot found.  This suggests that Engelmann spruce seeds are still present and dispersing on the landscape. </w:t>
      </w:r>
    </w:p>
    <w:p w14:paraId="16A99064" w14:textId="521CF9A8" w:rsidR="008838AF" w:rsidRPr="008838AF" w:rsidRDefault="008838AF" w:rsidP="008838AF">
      <w:pPr>
        <w:framePr w:hSpace="180" w:wrap="around" w:vAnchor="text" w:hAnchor="text" w:y="1"/>
        <w:suppressOverlap/>
      </w:pPr>
      <w:r>
        <w:t>M</w:t>
      </w:r>
      <w:r w:rsidRPr="008838AF">
        <w:t xml:space="preserve">onitoring of hare pellets in the Engelmann spruce dominated stands has demonstrated that snowshoe hares continue to utilize areas that were impacted by the spruce beetle.  However, this past year, field data suggested that salvage areas had lower hare density.  Hare pellet counts in the salvage areas were always lower in the previous </w:t>
      </w:r>
      <w:proofErr w:type="gramStart"/>
      <w:r w:rsidRPr="008838AF">
        <w:t>years, but</w:t>
      </w:r>
      <w:proofErr w:type="gramEnd"/>
      <w:r w:rsidRPr="008838AF">
        <w:t xml:space="preserve"> </w:t>
      </w:r>
      <w:r>
        <w:t>did not show a statistically significant difference</w:t>
      </w:r>
      <w:r w:rsidRPr="008838AF">
        <w:t xml:space="preserve">.  </w:t>
      </w:r>
    </w:p>
    <w:p w14:paraId="7DA5D0F9" w14:textId="6F1FFDCD" w:rsidR="008838AF" w:rsidRPr="008838AF" w:rsidRDefault="008838AF" w:rsidP="008838AF">
      <w:pPr>
        <w:framePr w:hSpace="180" w:wrap="around" w:vAnchor="text" w:hAnchor="text" w:y="1"/>
        <w:suppressOverlap/>
      </w:pPr>
      <w:r w:rsidRPr="008838AF">
        <w:t>In contrast to the Engelmann spruce dominated stands, areas that had a mix of Engelmann spruce and Aspen showed that initially hares favored the unmanaged and previously managed stands.  However, in 2020, salvaged stands had higher hare pellet counts (</w:t>
      </w:r>
      <w:proofErr w:type="gramStart"/>
      <w:r w:rsidRPr="008838AF">
        <w:t>I.e.</w:t>
      </w:r>
      <w:proofErr w:type="gramEnd"/>
      <w:r w:rsidRPr="008838AF">
        <w:t xml:space="preserve"> higher hare use), although </w:t>
      </w:r>
      <w:r w:rsidR="00D865B2">
        <w:t>there was no statistically</w:t>
      </w:r>
      <w:r w:rsidRPr="008838AF">
        <w:t xml:space="preserve"> significant differences among treatments. </w:t>
      </w:r>
    </w:p>
    <w:p w14:paraId="3A98FB65" w14:textId="12EF0FBC" w:rsidR="00234563" w:rsidRDefault="008838AF" w:rsidP="008838AF">
      <w:pPr>
        <w:rPr>
          <w:color w:val="C00000"/>
        </w:rPr>
      </w:pPr>
      <w:r w:rsidRPr="008838AF">
        <w:t xml:space="preserve">Based on these variable results, exploration of options to mitigate impacts to dense horizontal cover during salvage should be considered. It is critical to continue to steer salvage away from high-quality Canada lynx habitat. A significant outstanding question </w:t>
      </w:r>
      <w:proofErr w:type="gramStart"/>
      <w:r w:rsidRPr="008838AF">
        <w:t>at this time</w:t>
      </w:r>
      <w:proofErr w:type="gramEnd"/>
      <w:r w:rsidRPr="008838AF">
        <w:t xml:space="preserve"> is the longevity of salvage impacts on hare density and why i</w:t>
      </w:r>
      <w:r w:rsidR="00F14F74">
        <w:t>t</w:t>
      </w:r>
      <w:r w:rsidRPr="008838AF">
        <w:t xml:space="preserve"> varies from year to year.</w:t>
      </w:r>
      <w:r w:rsidR="00234563">
        <w:rPr>
          <w:color w:val="C00000"/>
        </w:rPr>
        <w:br w:type="page"/>
      </w:r>
    </w:p>
    <w:p w14:paraId="351C6528" w14:textId="77777777" w:rsidR="00083F1A" w:rsidRPr="009D4031" w:rsidRDefault="00083F1A" w:rsidP="009D4031">
      <w:pPr>
        <w:rPr>
          <w:color w:val="C00000"/>
        </w:rPr>
      </w:pPr>
    </w:p>
    <w:p w14:paraId="6D26B228" w14:textId="55DCA2A0" w:rsidR="003846D4" w:rsidRDefault="003846D4">
      <w:pPr>
        <w:pStyle w:val="Heading2"/>
      </w:pPr>
      <w:r>
        <w:t>Landscape-scale impacts of spruce bark beetle and climate on forest change</w:t>
      </w:r>
    </w:p>
    <w:p w14:paraId="6B6988B7" w14:textId="3A3B2A7B" w:rsidR="00920DEC" w:rsidRDefault="00920DEC" w:rsidP="00920DEC">
      <w:pPr>
        <w:pStyle w:val="Heading3"/>
      </w:pPr>
      <w:r>
        <w:t>What did we do in 2020?</w:t>
      </w:r>
    </w:p>
    <w:p w14:paraId="16117DD9" w14:textId="77777777" w:rsidR="00CF138C" w:rsidRPr="002F15F7" w:rsidRDefault="00CF138C" w:rsidP="00CF138C">
      <w:pPr>
        <w:rPr>
          <w:rFonts w:ascii="Calibri" w:eastAsia="Calibri" w:hAnsi="Calibri" w:cs="Calibri"/>
          <w:highlight w:val="yellow"/>
        </w:rPr>
      </w:pPr>
      <w:r w:rsidRPr="00CF138C">
        <w:rPr>
          <w:rFonts w:ascii="Calibri" w:eastAsia="Calibri" w:hAnsi="Calibri" w:cs="Calibri"/>
        </w:rPr>
        <w:t>In the Elk/ West Elk study area 53 of 68 plots from 2019 were revisited in 2020 to change temperature sensors and count hare pellets. T</w:t>
      </w:r>
      <w:r>
        <w:rPr>
          <w:rFonts w:ascii="Calibri" w:eastAsia="Calibri" w:hAnsi="Calibri" w:cs="Calibri"/>
        </w:rPr>
        <w:t>emperature data are being cleaned winter 2020-21.</w:t>
      </w:r>
    </w:p>
    <w:p w14:paraId="6C7FB731" w14:textId="47CDDF2C" w:rsidR="002B09DA" w:rsidRPr="002B09DA" w:rsidRDefault="00CF138C" w:rsidP="002B09DA">
      <w:r w:rsidRPr="00B72A59">
        <w:t xml:space="preserve">In addition to field work, </w:t>
      </w:r>
      <w:r w:rsidR="002B09DA" w:rsidRPr="00B72A59">
        <w:t xml:space="preserve">I focused on modeling future patterns of spruce forest distributions under different climate scenarios (A1 = continued warming; B1/B2 not as rapid of warming) for different climate projections for the years 2060 and 2090. The range of future climate projections (different scenarios and models) should provide relatively robust end points for best- and worst-case scenarios for spruce, which is being used as a proxy for Canada lynx habitat. I also modeled landscape connectivity for Canada lynx for the A1, and B1/B2 models for 2060 and 2090. </w:t>
      </w:r>
    </w:p>
    <w:p w14:paraId="54B59E98" w14:textId="1956C2F8" w:rsidR="00920DEC" w:rsidRDefault="00920DEC" w:rsidP="00920DEC">
      <w:pPr>
        <w:pStyle w:val="Heading3"/>
      </w:pPr>
      <w:r>
        <w:t>New results</w:t>
      </w:r>
    </w:p>
    <w:p w14:paraId="12B6F59A" w14:textId="4BB3245A" w:rsidR="002B09DA" w:rsidRPr="00B72A59" w:rsidRDefault="00CF138C" w:rsidP="002B09DA">
      <w:pPr>
        <w:rPr>
          <w:rFonts w:ascii="Calibri" w:eastAsia="Calibri" w:hAnsi="Calibri" w:cs="Calibri"/>
        </w:rPr>
      </w:pPr>
      <w:r w:rsidRPr="00B72A59">
        <w:rPr>
          <w:rFonts w:ascii="Calibri" w:eastAsia="Calibri" w:hAnsi="Calibri" w:cs="Calibri"/>
        </w:rPr>
        <w:t xml:space="preserve">Within the Elk/West Elk Study area, 2019 and 2020 data </w:t>
      </w:r>
      <w:proofErr w:type="gramStart"/>
      <w:r w:rsidRPr="00B72A59">
        <w:rPr>
          <w:rFonts w:ascii="Calibri" w:eastAsia="Calibri" w:hAnsi="Calibri" w:cs="Calibri"/>
        </w:rPr>
        <w:t>indicates</w:t>
      </w:r>
      <w:proofErr w:type="gramEnd"/>
      <w:r w:rsidRPr="00B72A59">
        <w:rPr>
          <w:rFonts w:ascii="Calibri" w:eastAsia="Calibri" w:hAnsi="Calibri" w:cs="Calibri"/>
        </w:rPr>
        <w:t xml:space="preserve">: </w:t>
      </w:r>
    </w:p>
    <w:p w14:paraId="0FF8DD2E" w14:textId="77777777" w:rsidR="002B09DA" w:rsidRPr="00B72A59" w:rsidRDefault="002B09DA" w:rsidP="00B72A59">
      <w:pPr>
        <w:ind w:left="720"/>
        <w:rPr>
          <w:rFonts w:ascii="Calibri" w:eastAsia="Calibri" w:hAnsi="Calibri" w:cs="Calibri"/>
        </w:rPr>
      </w:pPr>
      <w:r w:rsidRPr="00B72A59">
        <w:rPr>
          <w:rFonts w:ascii="Calibri" w:eastAsia="Calibri" w:hAnsi="Calibri" w:cs="Calibri"/>
        </w:rPr>
        <w:t>1) As expected, hare pellet densities in spruce-fir dominated forests that have not been impacted by spruce beetle, tend to increase with increasing DHC. However, pellet counts do not increase linearly but instead increase rapidly at 20% DHC and stays high. The 20% threshold is lower than expected.</w:t>
      </w:r>
    </w:p>
    <w:p w14:paraId="5949E515" w14:textId="77777777" w:rsidR="002B09DA" w:rsidRPr="00B72A59" w:rsidRDefault="002B09DA" w:rsidP="00B72A59">
      <w:pPr>
        <w:ind w:left="720"/>
        <w:rPr>
          <w:rFonts w:ascii="Calibri" w:eastAsia="Calibri" w:hAnsi="Calibri" w:cs="Calibri"/>
        </w:rPr>
      </w:pPr>
      <w:r w:rsidRPr="00B72A59">
        <w:rPr>
          <w:rFonts w:ascii="Calibri" w:eastAsia="Calibri" w:hAnsi="Calibri" w:cs="Calibri"/>
        </w:rPr>
        <w:t xml:space="preserve">2) DHC is extremely heterogeneous on the landscape, with close plots (200m) with similar slope, aspect, </w:t>
      </w:r>
      <w:proofErr w:type="gramStart"/>
      <w:r w:rsidRPr="00B72A59">
        <w:rPr>
          <w:rFonts w:ascii="Calibri" w:eastAsia="Calibri" w:hAnsi="Calibri" w:cs="Calibri"/>
        </w:rPr>
        <w:t>elevation</w:t>
      </w:r>
      <w:proofErr w:type="gramEnd"/>
      <w:r w:rsidRPr="00B72A59">
        <w:rPr>
          <w:rFonts w:ascii="Calibri" w:eastAsia="Calibri" w:hAnsi="Calibri" w:cs="Calibri"/>
        </w:rPr>
        <w:t xml:space="preserve"> and fire history often having large differences in DHC measurements. This is hypothesized to reflect fine scale variability in soils, soil water availability and canopy closure.</w:t>
      </w:r>
    </w:p>
    <w:p w14:paraId="02E63963" w14:textId="77777777" w:rsidR="002B09DA" w:rsidRPr="00B72A59" w:rsidRDefault="002B09DA" w:rsidP="00B72A59">
      <w:pPr>
        <w:ind w:firstLine="720"/>
      </w:pPr>
      <w:r w:rsidRPr="00B72A59">
        <w:rPr>
          <w:rFonts w:ascii="Calibri" w:eastAsia="Calibri" w:hAnsi="Calibri" w:cs="Calibri"/>
        </w:rPr>
        <w:t>3) DHC and hare pellet densities are heterogeneous at fine scales (100-200m).</w:t>
      </w:r>
    </w:p>
    <w:p w14:paraId="30825300" w14:textId="220635A2" w:rsidR="002B09DA" w:rsidRPr="002B09DA" w:rsidRDefault="00B72A59" w:rsidP="002B09DA">
      <w:r w:rsidRPr="00B72A59">
        <w:t xml:space="preserve">Results of the spruce forest distribution and future climate modeling </w:t>
      </w:r>
      <w:r w:rsidR="002B09DA" w:rsidRPr="00B72A59">
        <w:t>show that there is a very large range of potential future spruce cover scenarios – from a rapid decline to almost no spruce cover by 2060 and basically no cover in 2090 in the A1 climate scenario to relatively modest declines in the B1/B2 scenario. These models also show where on the landscape efforts to maintain spruce forests for habitat for Canada lynx and other subalpine species will most likely be successful. These models continue to identify the eastern portion of the Gunnison basin as a critical area for connectivity for Canada lynx between the San Juan Mountains and northern Ranges in Colorado.</w:t>
      </w:r>
    </w:p>
    <w:p w14:paraId="094B54C5" w14:textId="56E88688" w:rsidR="00920DEC" w:rsidRDefault="00920DEC" w:rsidP="00920DEC">
      <w:pPr>
        <w:pStyle w:val="Heading3"/>
      </w:pPr>
      <w:r>
        <w:t>Interpretation of results for AMG</w:t>
      </w:r>
    </w:p>
    <w:p w14:paraId="2D5663AF" w14:textId="51B23D83" w:rsidR="002B09DA" w:rsidRPr="00CF138C" w:rsidRDefault="002B09DA" w:rsidP="002B09DA">
      <w:r w:rsidRPr="00CF138C">
        <w:t>The increase in pellet counts at 20% suggests that lower levels of DHC could provide valuable hare habitat in spruce-fir forests that have not been impacted by spruce beetle.</w:t>
      </w:r>
      <w:r w:rsidR="00F07467" w:rsidRPr="00CF138C">
        <w:t xml:space="preserve"> </w:t>
      </w:r>
      <w:r w:rsidRPr="00CF138C">
        <w:t>The heterogeneous nature of DHC at relatively fine scales (&lt;100-200m) stresses the challenges of quantifying DHC within treatment area.</w:t>
      </w:r>
      <w:r w:rsidR="00F07467" w:rsidRPr="00CF138C">
        <w:t xml:space="preserve"> This fine-scale heterogeneity </w:t>
      </w:r>
      <w:r w:rsidR="00CF138C" w:rsidRPr="00CF138C">
        <w:t>also contributes to challenges in identifying large areas that are key for Canada lynx conservation.</w:t>
      </w:r>
    </w:p>
    <w:p w14:paraId="55E31164" w14:textId="7806732D" w:rsidR="004F3858" w:rsidRDefault="002B09DA">
      <w:pPr>
        <w:rPr>
          <w:rFonts w:eastAsiaTheme="majorEastAsia" w:cstheme="minorHAnsi"/>
          <w:bCs/>
          <w:color w:val="2E74B5" w:themeColor="accent1" w:themeShade="BF"/>
          <w:sz w:val="28"/>
          <w:szCs w:val="28"/>
        </w:rPr>
      </w:pPr>
      <w:r w:rsidRPr="00CF138C">
        <w:t xml:space="preserve">Spruce and connectivity modeling provides spatial information on where spruce habitat, critical for Canada lynx, and corridors will persist into the future under different warming scenarios. This information could be used to identify locations on the landscape where spruce would be anticipated to persist into the future or where management should focus on maintaining spruce on the landscape </w:t>
      </w:r>
      <w:r w:rsidRPr="00CF138C">
        <w:lastRenderedPageBreak/>
        <w:t>(corridors). This information can be used to identify appropriate treatments, exclusion of treatment or post-treatment management including reforestation.</w:t>
      </w:r>
      <w:r w:rsidR="004F3858">
        <w:rPr>
          <w:rFonts w:cstheme="minorHAnsi"/>
          <w:bCs/>
          <w:sz w:val="28"/>
          <w:szCs w:val="28"/>
        </w:rPr>
        <w:br w:type="page"/>
      </w:r>
    </w:p>
    <w:p w14:paraId="35F8CE3B" w14:textId="7518F3D1" w:rsidR="00920DEC" w:rsidRPr="004F3858" w:rsidRDefault="00920DEC" w:rsidP="004F3858">
      <w:pPr>
        <w:pStyle w:val="Heading2"/>
      </w:pPr>
      <w:r w:rsidRPr="004F3858">
        <w:lastRenderedPageBreak/>
        <w:t xml:space="preserve">Assessing </w:t>
      </w:r>
      <w:r w:rsidR="0041264E">
        <w:t>s</w:t>
      </w:r>
      <w:r w:rsidRPr="004F3858">
        <w:t xml:space="preserve">ocioeconomic </w:t>
      </w:r>
      <w:r w:rsidR="0041264E">
        <w:t>i</w:t>
      </w:r>
      <w:r w:rsidRPr="004F3858">
        <w:t>mpacts of SBEADMR</w:t>
      </w:r>
    </w:p>
    <w:p w14:paraId="1F5636EA" w14:textId="03F8E634" w:rsidR="00920DEC" w:rsidRDefault="5942270A" w:rsidP="5942270A">
      <w:r>
        <w:t xml:space="preserve">One of the goals of </w:t>
      </w:r>
      <w:r w:rsidR="00610A6A">
        <w:t>SBEADMR</w:t>
      </w:r>
      <w:r>
        <w:t xml:space="preserve"> is to increase economic efficiency of planning and executing of treatments. While the original SBEADMR analysis cost over $1.0 million dollars this was a one-time cost </w:t>
      </w:r>
      <w:r w:rsidR="00610A6A">
        <w:t>as that</w:t>
      </w:r>
      <w:r>
        <w:t xml:space="preserve"> analysis allowed treatments to occur over a</w:t>
      </w:r>
      <w:r w:rsidR="00610A6A">
        <w:t>n</w:t>
      </w:r>
      <w:r>
        <w:t xml:space="preserve"> </w:t>
      </w:r>
      <w:proofErr w:type="gramStart"/>
      <w:r>
        <w:t>8</w:t>
      </w:r>
      <w:r w:rsidR="00610A6A">
        <w:t>-12 year</w:t>
      </w:r>
      <w:proofErr w:type="gramEnd"/>
      <w:r w:rsidR="00610A6A">
        <w:t xml:space="preserve"> </w:t>
      </w:r>
      <w:r>
        <w:t>period with no additional NEPA. Through 2020, 24 large sale</w:t>
      </w:r>
      <w:r w:rsidR="00610A6A">
        <w:t>s</w:t>
      </w:r>
      <w:r>
        <w:t xml:space="preserve"> and numerous small sales have been sold treating over 16,000 acres across all five districts of the GMUG. In the past, numerous NEPA documents would have to be written to complete this much work. Current average cost of to complete a single EA is approximately $250,000-$300,000 for a single large timber sale. </w:t>
      </w:r>
    </w:p>
    <w:p w14:paraId="660D7530" w14:textId="4FC614C1" w:rsidR="00920DEC" w:rsidRDefault="5942270A" w:rsidP="5942270A">
      <w:r>
        <w:t xml:space="preserve">While SBEADMR did reduce NEPA workload and costs, SBEADMR does require an Interdisciplinary Team (IDT) to compete resource surveys, required clearances, plan </w:t>
      </w:r>
      <w:proofErr w:type="gramStart"/>
      <w:r>
        <w:t>treatments</w:t>
      </w:r>
      <w:proofErr w:type="gramEnd"/>
      <w:r>
        <w:t xml:space="preserve"> and oversee project layout. These steps are documented on treatment design checklists completed for each treatment. The final designed treatment is then written into a contract or other mechanisms for implementation. Finally</w:t>
      </w:r>
      <w:r w:rsidR="00610A6A">
        <w:t>,</w:t>
      </w:r>
      <w:r>
        <w:t xml:space="preserve"> Forest Service inspectors oversee project implementation to </w:t>
      </w:r>
      <w:proofErr w:type="gramStart"/>
      <w:r>
        <w:t>insure</w:t>
      </w:r>
      <w:proofErr w:type="gramEnd"/>
      <w:r>
        <w:t xml:space="preserve"> all requirements identified on the checklist and supporting contract provisions are accomplished.</w:t>
      </w:r>
    </w:p>
    <w:p w14:paraId="76D99F33" w14:textId="1AF9E872" w:rsidR="00610A6A" w:rsidRDefault="00610A6A" w:rsidP="00610A6A">
      <w:pPr>
        <w:pStyle w:val="Heading3"/>
      </w:pPr>
      <w:r>
        <w:t>What did we do in 2020?</w:t>
      </w:r>
    </w:p>
    <w:p w14:paraId="2D9F8195" w14:textId="00A84CE3" w:rsidR="00920DEC" w:rsidRDefault="5942270A" w:rsidP="5942270A">
      <w:r>
        <w:t>To approximate administrative costs to complete planning, contract preparation and on-the ground oversight the following data was compiled for salvage treatments:</w:t>
      </w:r>
    </w:p>
    <w:p w14:paraId="3C4AF44A" w14:textId="37155712" w:rsidR="00920DEC" w:rsidRDefault="5942270A" w:rsidP="5942270A">
      <w:pPr>
        <w:pStyle w:val="ListParagraph"/>
        <w:numPr>
          <w:ilvl w:val="0"/>
          <w:numId w:val="1"/>
        </w:numPr>
        <w:rPr>
          <w:rFonts w:eastAsiaTheme="minorEastAsia"/>
        </w:rPr>
      </w:pPr>
      <w:r>
        <w:t>Percent time spent by Forest Service personnel by work category based upon a 261</w:t>
      </w:r>
      <w:r w:rsidR="00610A6A">
        <w:t>-</w:t>
      </w:r>
      <w:r>
        <w:t>day work year.  The number days spent completing these tasks were then multiplied by each employee</w:t>
      </w:r>
      <w:r w:rsidR="00610A6A">
        <w:t>’</w:t>
      </w:r>
      <w:r>
        <w:t>s cost-to-government.</w:t>
      </w:r>
    </w:p>
    <w:p w14:paraId="73A379DA" w14:textId="37548636" w:rsidR="00920DEC" w:rsidRDefault="5942270A" w:rsidP="5942270A">
      <w:pPr>
        <w:pStyle w:val="ListParagraph"/>
        <w:numPr>
          <w:ilvl w:val="1"/>
          <w:numId w:val="1"/>
        </w:numPr>
      </w:pPr>
      <w:r>
        <w:t>Planning – IDT meetings, coordination with partners, completion of resource surveys and require clearances, completion of treatment design checklist, contract preparation.</w:t>
      </w:r>
    </w:p>
    <w:p w14:paraId="5F559973" w14:textId="48BA2A13" w:rsidR="00920DEC" w:rsidRDefault="5942270A" w:rsidP="5942270A">
      <w:pPr>
        <w:pStyle w:val="ListParagraph"/>
        <w:numPr>
          <w:ilvl w:val="1"/>
          <w:numId w:val="1"/>
        </w:numPr>
        <w:rPr>
          <w:rFonts w:eastAsiaTheme="minorEastAsia"/>
        </w:rPr>
      </w:pPr>
      <w:r>
        <w:t>Pre-treatment layout – prescription development treatment unit layout, cruise, engineering support –road logs and design, etc.</w:t>
      </w:r>
    </w:p>
    <w:p w14:paraId="1B8E7037" w14:textId="73010215" w:rsidR="00920DEC" w:rsidRDefault="5942270A" w:rsidP="5942270A">
      <w:pPr>
        <w:pStyle w:val="ListParagraph"/>
        <w:numPr>
          <w:ilvl w:val="1"/>
          <w:numId w:val="1"/>
        </w:numPr>
      </w:pPr>
      <w:r>
        <w:t>Treatment implementation – Contract administration including inspections.  Both vegetation management and road contract administration are included.</w:t>
      </w:r>
    </w:p>
    <w:p w14:paraId="575C3AC8" w14:textId="008E9DFD" w:rsidR="00920DEC" w:rsidRDefault="5942270A" w:rsidP="5942270A">
      <w:pPr>
        <w:pStyle w:val="ListParagraph"/>
        <w:numPr>
          <w:ilvl w:val="0"/>
          <w:numId w:val="1"/>
        </w:numPr>
      </w:pPr>
      <w:r>
        <w:t>Forest Service non-road related contract work – stand exams, treatment layout, resource surveys, tree planting, etc.  Actual awarded contract costs were used.</w:t>
      </w:r>
    </w:p>
    <w:p w14:paraId="379B1633" w14:textId="2BD79114" w:rsidR="00920DEC" w:rsidRDefault="5942270A" w:rsidP="5942270A">
      <w:pPr>
        <w:pStyle w:val="ListParagraph"/>
        <w:numPr>
          <w:ilvl w:val="0"/>
          <w:numId w:val="1"/>
        </w:numPr>
      </w:pPr>
      <w:r>
        <w:t>Forest Service road related costs – road work designed or completed through contract.</w:t>
      </w:r>
    </w:p>
    <w:p w14:paraId="18E10EB9" w14:textId="3AC3E764" w:rsidR="00920DEC" w:rsidRDefault="5942270A" w:rsidP="5942270A">
      <w:pPr>
        <w:pStyle w:val="ListParagraph"/>
        <w:numPr>
          <w:ilvl w:val="0"/>
          <w:numId w:val="1"/>
        </w:numPr>
      </w:pPr>
      <w:r>
        <w:t xml:space="preserve">Science Team costs – funds provided to the </w:t>
      </w:r>
      <w:r w:rsidR="00410964">
        <w:t>Science</w:t>
      </w:r>
      <w:r>
        <w:t xml:space="preserve"> Team to complete monitoring and inform SBEADMR on use of best available science.</w:t>
      </w:r>
    </w:p>
    <w:p w14:paraId="2D793268" w14:textId="41E2BD84" w:rsidR="00920DEC" w:rsidRDefault="6CA60BB3" w:rsidP="5942270A">
      <w:pPr>
        <w:pStyle w:val="ListParagraph"/>
        <w:numPr>
          <w:ilvl w:val="0"/>
          <w:numId w:val="1"/>
        </w:numPr>
      </w:pPr>
      <w:r>
        <w:t>Adaptive Management Group (AMG) - funds provided to pay a facilitator and other support to AMG.</w:t>
      </w:r>
    </w:p>
    <w:p w14:paraId="15CA91BE" w14:textId="653F461F" w:rsidR="6CA60BB3" w:rsidRDefault="6CA60BB3" w:rsidP="6CA60BB3">
      <w:r>
        <w:t>Data was compiled for commercial timber harvest output and revenue for fiscal years 2017-2020 to capture how timber output and revenue have changed over the project timeframe. This information was used to calculate the amount of revenue collected per volume of timber harvested in CCF. The revenue collected for the project include stumpage collections, brush disposal deposits, surface rock deposits, road maintenance deposits, and deposits for reconstruction engineering services. Information on no bid timber sales and non-commercial treatments was also gathered.</w:t>
      </w:r>
    </w:p>
    <w:p w14:paraId="3D33DD80" w14:textId="71AADD20" w:rsidR="6CA60BB3" w:rsidRDefault="6CA60BB3" w:rsidP="6CA60BB3">
      <w:r>
        <w:t xml:space="preserve">One of the goals of the socioeconomic monitoring is to assess how producers are utilizing wood harvested from the project area, what firms are benefitting from these wood products, and how these </w:t>
      </w:r>
      <w:r>
        <w:lastRenderedPageBreak/>
        <w:t xml:space="preserve">producers vary over the project duration. Employment impacts of SBEADMR project implementation on non-government entities is also an area of interest. Data to address these goals was gathered from local producers to understand potential supply chain impacts of the project implementation. </w:t>
      </w:r>
    </w:p>
    <w:p w14:paraId="4B9E670F" w14:textId="2A17A92F" w:rsidR="00732F60" w:rsidRPr="00732F60" w:rsidRDefault="00AD5DEA" w:rsidP="00850020">
      <w:pPr>
        <w:pStyle w:val="Heading3"/>
      </w:pPr>
      <w:r>
        <w:t>New results</w:t>
      </w:r>
    </w:p>
    <w:p w14:paraId="6D2434E7" w14:textId="1F95B13B" w:rsidR="00920DEC" w:rsidRDefault="5942270A" w:rsidP="5942270A">
      <w:r>
        <w:t xml:space="preserve">To establish a common metric for measurement both cost per acre treated and volume of timber sold (CCF) were used.  Table 1 displays costs for each metric adjusted for inflation.  </w:t>
      </w:r>
    </w:p>
    <w:p w14:paraId="5AAA367E" w14:textId="7CA4FE85" w:rsidR="00920DEC" w:rsidRDefault="5942270A" w:rsidP="5942270A">
      <w:r>
        <w:t xml:space="preserve">Table 1.  Approximate costs in 2020 per acre treated and timber volume (CCF) sold on the Grand Mesa, </w:t>
      </w:r>
      <w:proofErr w:type="gramStart"/>
      <w:r>
        <w:t>Uncompahgre</w:t>
      </w:r>
      <w:proofErr w:type="gramEnd"/>
      <w:r>
        <w:t xml:space="preserve"> and Gunnison National Forests.  These data are specific to salvage treatments unless specified.  </w:t>
      </w:r>
    </w:p>
    <w:tbl>
      <w:tblPr>
        <w:tblStyle w:val="TableGrid"/>
        <w:tblW w:w="0" w:type="auto"/>
        <w:tblLayout w:type="fixed"/>
        <w:tblLook w:val="06A0" w:firstRow="1" w:lastRow="0" w:firstColumn="1" w:lastColumn="0" w:noHBand="1" w:noVBand="1"/>
      </w:tblPr>
      <w:tblGrid>
        <w:gridCol w:w="6205"/>
        <w:gridCol w:w="1350"/>
        <w:gridCol w:w="1214"/>
      </w:tblGrid>
      <w:tr w:rsidR="5942270A" w:rsidRPr="00732F60" w14:paraId="7758559D" w14:textId="77777777" w:rsidTr="00BD4289">
        <w:tc>
          <w:tcPr>
            <w:tcW w:w="6205" w:type="dxa"/>
          </w:tcPr>
          <w:p w14:paraId="0DA246CA" w14:textId="66333249" w:rsidR="5942270A" w:rsidRPr="00732F60" w:rsidRDefault="5942270A">
            <w:pPr>
              <w:rPr>
                <w:sz w:val="22"/>
                <w:szCs w:val="22"/>
              </w:rPr>
            </w:pPr>
            <w:r w:rsidRPr="00732F60">
              <w:rPr>
                <w:rFonts w:ascii="Calibri" w:eastAsia="Calibri" w:hAnsi="Calibri" w:cs="Calibri"/>
                <w:b/>
                <w:bCs/>
                <w:sz w:val="22"/>
                <w:szCs w:val="22"/>
              </w:rPr>
              <w:t>Salvage Treatment Summary Table (adjusted for inflation at 3.1</w:t>
            </w:r>
            <w:r w:rsidR="00BD4289">
              <w:rPr>
                <w:rFonts w:ascii="Calibri" w:eastAsia="Calibri" w:hAnsi="Calibri" w:cs="Calibri"/>
                <w:b/>
                <w:bCs/>
                <w:sz w:val="22"/>
                <w:szCs w:val="22"/>
              </w:rPr>
              <w:t>%</w:t>
            </w:r>
            <w:r w:rsidRPr="00732F60">
              <w:rPr>
                <w:rFonts w:ascii="Calibri" w:eastAsia="Calibri" w:hAnsi="Calibri" w:cs="Calibri"/>
                <w:b/>
                <w:bCs/>
                <w:sz w:val="22"/>
                <w:szCs w:val="22"/>
              </w:rPr>
              <w:t>)</w:t>
            </w:r>
          </w:p>
        </w:tc>
        <w:tc>
          <w:tcPr>
            <w:tcW w:w="1350" w:type="dxa"/>
          </w:tcPr>
          <w:p w14:paraId="21D4CFC2" w14:textId="26E81867" w:rsidR="5942270A" w:rsidRPr="00732F60" w:rsidRDefault="5942270A">
            <w:pPr>
              <w:rPr>
                <w:sz w:val="22"/>
                <w:szCs w:val="22"/>
              </w:rPr>
            </w:pPr>
            <w:r w:rsidRPr="00732F60">
              <w:rPr>
                <w:rFonts w:ascii="Calibri" w:eastAsia="Calibri" w:hAnsi="Calibri" w:cs="Calibri"/>
                <w:b/>
                <w:bCs/>
                <w:sz w:val="22"/>
                <w:szCs w:val="22"/>
              </w:rPr>
              <w:t>Cost per acre treated</w:t>
            </w:r>
          </w:p>
        </w:tc>
        <w:tc>
          <w:tcPr>
            <w:tcW w:w="1214" w:type="dxa"/>
          </w:tcPr>
          <w:p w14:paraId="5B4E095D" w14:textId="71BF20CA" w:rsidR="5942270A" w:rsidRPr="00732F60" w:rsidRDefault="5942270A">
            <w:pPr>
              <w:rPr>
                <w:sz w:val="22"/>
                <w:szCs w:val="22"/>
              </w:rPr>
            </w:pPr>
            <w:r w:rsidRPr="00732F60">
              <w:rPr>
                <w:rFonts w:ascii="Calibri" w:eastAsia="Calibri" w:hAnsi="Calibri" w:cs="Calibri"/>
                <w:b/>
                <w:bCs/>
                <w:sz w:val="22"/>
                <w:szCs w:val="22"/>
              </w:rPr>
              <w:t>Cost per CCF sold</w:t>
            </w:r>
          </w:p>
        </w:tc>
      </w:tr>
      <w:tr w:rsidR="5942270A" w:rsidRPr="00732F60" w14:paraId="18465D08" w14:textId="77777777" w:rsidTr="00BD4289">
        <w:tc>
          <w:tcPr>
            <w:tcW w:w="6205" w:type="dxa"/>
          </w:tcPr>
          <w:p w14:paraId="253D593F" w14:textId="671E6F70" w:rsidR="5942270A" w:rsidRPr="00732F60" w:rsidRDefault="5942270A">
            <w:pPr>
              <w:rPr>
                <w:sz w:val="22"/>
                <w:szCs w:val="22"/>
              </w:rPr>
            </w:pPr>
            <w:r w:rsidRPr="00732F60">
              <w:rPr>
                <w:rFonts w:ascii="Calibri" w:eastAsia="Calibri" w:hAnsi="Calibri" w:cs="Calibri"/>
                <w:sz w:val="22"/>
                <w:szCs w:val="22"/>
              </w:rPr>
              <w:t xml:space="preserve"> </w:t>
            </w:r>
          </w:p>
        </w:tc>
        <w:tc>
          <w:tcPr>
            <w:tcW w:w="1350" w:type="dxa"/>
          </w:tcPr>
          <w:p w14:paraId="17A32271" w14:textId="62BCB360" w:rsidR="5942270A" w:rsidRPr="00732F60" w:rsidRDefault="5942270A" w:rsidP="5942270A">
            <w:pPr>
              <w:rPr>
                <w:rFonts w:ascii="Calibri" w:eastAsia="Calibri" w:hAnsi="Calibri" w:cs="Calibri"/>
                <w:b/>
                <w:bCs/>
                <w:sz w:val="22"/>
                <w:szCs w:val="22"/>
              </w:rPr>
            </w:pPr>
          </w:p>
        </w:tc>
        <w:tc>
          <w:tcPr>
            <w:tcW w:w="1214" w:type="dxa"/>
          </w:tcPr>
          <w:p w14:paraId="02F13272" w14:textId="58A9FB4C" w:rsidR="5942270A" w:rsidRPr="00732F60" w:rsidRDefault="5942270A" w:rsidP="5942270A">
            <w:pPr>
              <w:rPr>
                <w:rFonts w:ascii="Calibri" w:eastAsia="Calibri" w:hAnsi="Calibri" w:cs="Calibri"/>
                <w:b/>
                <w:bCs/>
                <w:sz w:val="22"/>
                <w:szCs w:val="22"/>
              </w:rPr>
            </w:pPr>
          </w:p>
        </w:tc>
      </w:tr>
      <w:tr w:rsidR="5942270A" w:rsidRPr="00732F60" w14:paraId="531F6147" w14:textId="77777777" w:rsidTr="00BD4289">
        <w:tc>
          <w:tcPr>
            <w:tcW w:w="6205" w:type="dxa"/>
          </w:tcPr>
          <w:p w14:paraId="0B66BF46" w14:textId="75AADA77" w:rsidR="5942270A" w:rsidRPr="00732F60" w:rsidRDefault="5942270A">
            <w:pPr>
              <w:rPr>
                <w:sz w:val="22"/>
                <w:szCs w:val="22"/>
              </w:rPr>
            </w:pPr>
            <w:r w:rsidRPr="00732F60">
              <w:rPr>
                <w:rFonts w:ascii="Calibri" w:eastAsia="Calibri" w:hAnsi="Calibri" w:cs="Calibri"/>
                <w:sz w:val="22"/>
                <w:szCs w:val="22"/>
              </w:rPr>
              <w:t>Treatment Planning, layout, prep, road design and oversight</w:t>
            </w:r>
          </w:p>
        </w:tc>
        <w:tc>
          <w:tcPr>
            <w:tcW w:w="1350" w:type="dxa"/>
          </w:tcPr>
          <w:p w14:paraId="2D858E53" w14:textId="5B9DBBC8" w:rsidR="5942270A" w:rsidRPr="00732F60" w:rsidRDefault="5942270A">
            <w:pPr>
              <w:rPr>
                <w:sz w:val="22"/>
                <w:szCs w:val="22"/>
              </w:rPr>
            </w:pPr>
            <w:r w:rsidRPr="00732F60">
              <w:rPr>
                <w:rFonts w:ascii="Calibri" w:eastAsia="Calibri" w:hAnsi="Calibri" w:cs="Calibri"/>
                <w:sz w:val="22"/>
                <w:szCs w:val="22"/>
              </w:rPr>
              <w:t>$327</w:t>
            </w:r>
          </w:p>
        </w:tc>
        <w:tc>
          <w:tcPr>
            <w:tcW w:w="1214" w:type="dxa"/>
          </w:tcPr>
          <w:p w14:paraId="3B6EC5B9" w14:textId="2E7DA716" w:rsidR="5942270A" w:rsidRPr="00732F60" w:rsidRDefault="5942270A">
            <w:pPr>
              <w:rPr>
                <w:sz w:val="22"/>
                <w:szCs w:val="22"/>
              </w:rPr>
            </w:pPr>
            <w:r w:rsidRPr="00732F60">
              <w:rPr>
                <w:rFonts w:ascii="Calibri" w:eastAsia="Calibri" w:hAnsi="Calibri" w:cs="Calibri"/>
                <w:sz w:val="22"/>
                <w:szCs w:val="22"/>
              </w:rPr>
              <w:t>$19</w:t>
            </w:r>
          </w:p>
        </w:tc>
      </w:tr>
      <w:tr w:rsidR="5942270A" w:rsidRPr="00732F60" w14:paraId="6D28BB15" w14:textId="77777777" w:rsidTr="00BD4289">
        <w:tc>
          <w:tcPr>
            <w:tcW w:w="6205" w:type="dxa"/>
          </w:tcPr>
          <w:p w14:paraId="2A10A536" w14:textId="53B5D9A7" w:rsidR="5942270A" w:rsidRPr="00732F60" w:rsidRDefault="5942270A">
            <w:pPr>
              <w:rPr>
                <w:sz w:val="22"/>
                <w:szCs w:val="22"/>
              </w:rPr>
            </w:pPr>
            <w:r w:rsidRPr="00732F60">
              <w:rPr>
                <w:rFonts w:ascii="Calibri" w:eastAsia="Calibri" w:hAnsi="Calibri" w:cs="Calibri"/>
                <w:sz w:val="22"/>
                <w:szCs w:val="22"/>
              </w:rPr>
              <w:t>Treatment Implementation - Contract administration</w:t>
            </w:r>
          </w:p>
        </w:tc>
        <w:tc>
          <w:tcPr>
            <w:tcW w:w="1350" w:type="dxa"/>
          </w:tcPr>
          <w:p w14:paraId="705A27F6" w14:textId="0DDF8314" w:rsidR="5942270A" w:rsidRPr="00732F60" w:rsidRDefault="5942270A">
            <w:pPr>
              <w:rPr>
                <w:sz w:val="22"/>
                <w:szCs w:val="22"/>
              </w:rPr>
            </w:pPr>
            <w:r w:rsidRPr="00732F60">
              <w:rPr>
                <w:rFonts w:ascii="Calibri" w:eastAsia="Calibri" w:hAnsi="Calibri" w:cs="Calibri"/>
                <w:sz w:val="22"/>
                <w:szCs w:val="22"/>
              </w:rPr>
              <w:t>$89</w:t>
            </w:r>
          </w:p>
        </w:tc>
        <w:tc>
          <w:tcPr>
            <w:tcW w:w="1214" w:type="dxa"/>
          </w:tcPr>
          <w:p w14:paraId="6C498D2F" w14:textId="26AE046F" w:rsidR="5942270A" w:rsidRPr="00732F60" w:rsidRDefault="5942270A">
            <w:pPr>
              <w:rPr>
                <w:sz w:val="22"/>
                <w:szCs w:val="22"/>
              </w:rPr>
            </w:pPr>
            <w:r w:rsidRPr="00732F60">
              <w:rPr>
                <w:rFonts w:ascii="Calibri" w:eastAsia="Calibri" w:hAnsi="Calibri" w:cs="Calibri"/>
                <w:sz w:val="22"/>
                <w:szCs w:val="22"/>
              </w:rPr>
              <w:t>$5</w:t>
            </w:r>
          </w:p>
        </w:tc>
      </w:tr>
      <w:tr w:rsidR="5942270A" w:rsidRPr="00732F60" w14:paraId="6445AF8F" w14:textId="77777777" w:rsidTr="00BD4289">
        <w:tc>
          <w:tcPr>
            <w:tcW w:w="6205" w:type="dxa"/>
          </w:tcPr>
          <w:p w14:paraId="559C3176" w14:textId="2CB01C4A" w:rsidR="5942270A" w:rsidRPr="00732F60" w:rsidRDefault="5942270A">
            <w:pPr>
              <w:rPr>
                <w:sz w:val="22"/>
                <w:szCs w:val="22"/>
              </w:rPr>
            </w:pPr>
            <w:r w:rsidRPr="00732F60">
              <w:rPr>
                <w:rFonts w:ascii="Calibri" w:eastAsia="Calibri" w:hAnsi="Calibri" w:cs="Calibri"/>
                <w:sz w:val="22"/>
                <w:szCs w:val="22"/>
              </w:rPr>
              <w:t>Forest Service contracts - non-roads</w:t>
            </w:r>
          </w:p>
        </w:tc>
        <w:tc>
          <w:tcPr>
            <w:tcW w:w="1350" w:type="dxa"/>
          </w:tcPr>
          <w:p w14:paraId="66BD2485" w14:textId="7913633D" w:rsidR="5942270A" w:rsidRPr="00732F60" w:rsidRDefault="5942270A">
            <w:pPr>
              <w:rPr>
                <w:sz w:val="22"/>
                <w:szCs w:val="22"/>
              </w:rPr>
            </w:pPr>
            <w:r w:rsidRPr="00732F60">
              <w:rPr>
                <w:rFonts w:ascii="Calibri" w:eastAsia="Calibri" w:hAnsi="Calibri" w:cs="Calibri"/>
                <w:sz w:val="22"/>
                <w:szCs w:val="22"/>
              </w:rPr>
              <w:t>$35</w:t>
            </w:r>
          </w:p>
        </w:tc>
        <w:tc>
          <w:tcPr>
            <w:tcW w:w="1214" w:type="dxa"/>
          </w:tcPr>
          <w:p w14:paraId="40E82E1A" w14:textId="4B10A067" w:rsidR="5942270A" w:rsidRPr="00732F60" w:rsidRDefault="5942270A">
            <w:pPr>
              <w:rPr>
                <w:sz w:val="22"/>
                <w:szCs w:val="22"/>
              </w:rPr>
            </w:pPr>
            <w:r w:rsidRPr="00732F60">
              <w:rPr>
                <w:rFonts w:ascii="Calibri" w:eastAsia="Calibri" w:hAnsi="Calibri" w:cs="Calibri"/>
                <w:sz w:val="22"/>
                <w:szCs w:val="22"/>
              </w:rPr>
              <w:t>$2</w:t>
            </w:r>
          </w:p>
        </w:tc>
      </w:tr>
      <w:tr w:rsidR="5942270A" w:rsidRPr="00732F60" w14:paraId="29CFE44A" w14:textId="77777777" w:rsidTr="00BD4289">
        <w:tc>
          <w:tcPr>
            <w:tcW w:w="6205" w:type="dxa"/>
          </w:tcPr>
          <w:p w14:paraId="11153DFB" w14:textId="3259958D" w:rsidR="5942270A" w:rsidRPr="00732F60" w:rsidRDefault="5942270A">
            <w:pPr>
              <w:rPr>
                <w:sz w:val="22"/>
                <w:szCs w:val="22"/>
              </w:rPr>
            </w:pPr>
            <w:r w:rsidRPr="00732F60">
              <w:rPr>
                <w:rFonts w:ascii="Calibri" w:eastAsia="Calibri" w:hAnsi="Calibri" w:cs="Calibri"/>
                <w:b/>
                <w:bCs/>
                <w:sz w:val="22"/>
                <w:szCs w:val="22"/>
              </w:rPr>
              <w:t>Total Non-road</w:t>
            </w:r>
          </w:p>
        </w:tc>
        <w:tc>
          <w:tcPr>
            <w:tcW w:w="1350" w:type="dxa"/>
          </w:tcPr>
          <w:p w14:paraId="58FBDC9B" w14:textId="380C67C0" w:rsidR="5942270A" w:rsidRPr="00732F60" w:rsidRDefault="5942270A">
            <w:pPr>
              <w:rPr>
                <w:sz w:val="22"/>
                <w:szCs w:val="22"/>
              </w:rPr>
            </w:pPr>
            <w:r w:rsidRPr="00732F60">
              <w:rPr>
                <w:rFonts w:ascii="Calibri" w:eastAsia="Calibri" w:hAnsi="Calibri" w:cs="Calibri"/>
                <w:b/>
                <w:bCs/>
                <w:sz w:val="22"/>
                <w:szCs w:val="22"/>
              </w:rPr>
              <w:t>$478</w:t>
            </w:r>
          </w:p>
        </w:tc>
        <w:tc>
          <w:tcPr>
            <w:tcW w:w="1214" w:type="dxa"/>
          </w:tcPr>
          <w:p w14:paraId="2D69D675" w14:textId="1FF6F09B" w:rsidR="5942270A" w:rsidRPr="00732F60" w:rsidRDefault="5942270A">
            <w:pPr>
              <w:rPr>
                <w:sz w:val="22"/>
                <w:szCs w:val="22"/>
              </w:rPr>
            </w:pPr>
            <w:r w:rsidRPr="00732F60">
              <w:rPr>
                <w:rFonts w:ascii="Calibri" w:eastAsia="Calibri" w:hAnsi="Calibri" w:cs="Calibri"/>
                <w:b/>
                <w:bCs/>
                <w:sz w:val="22"/>
                <w:szCs w:val="22"/>
              </w:rPr>
              <w:t>$29</w:t>
            </w:r>
          </w:p>
        </w:tc>
      </w:tr>
      <w:tr w:rsidR="5942270A" w:rsidRPr="00732F60" w14:paraId="2CF76E4C" w14:textId="77777777" w:rsidTr="00BD4289">
        <w:tc>
          <w:tcPr>
            <w:tcW w:w="6205" w:type="dxa"/>
          </w:tcPr>
          <w:p w14:paraId="140C0F29" w14:textId="1FFAF7A2" w:rsidR="5942270A" w:rsidRPr="00732F60" w:rsidRDefault="5942270A">
            <w:pPr>
              <w:rPr>
                <w:sz w:val="22"/>
                <w:szCs w:val="22"/>
              </w:rPr>
            </w:pPr>
            <w:r w:rsidRPr="00732F60">
              <w:rPr>
                <w:rFonts w:ascii="Calibri" w:eastAsia="Calibri" w:hAnsi="Calibri" w:cs="Calibri"/>
                <w:sz w:val="22"/>
                <w:szCs w:val="22"/>
              </w:rPr>
              <w:t>Forest Service contracts - Roads</w:t>
            </w:r>
          </w:p>
        </w:tc>
        <w:tc>
          <w:tcPr>
            <w:tcW w:w="1350" w:type="dxa"/>
          </w:tcPr>
          <w:p w14:paraId="1DC67C8D" w14:textId="49C85381" w:rsidR="5942270A" w:rsidRPr="00732F60" w:rsidRDefault="5942270A">
            <w:pPr>
              <w:rPr>
                <w:sz w:val="22"/>
                <w:szCs w:val="22"/>
              </w:rPr>
            </w:pPr>
            <w:r w:rsidRPr="00732F60">
              <w:rPr>
                <w:rFonts w:ascii="Calibri" w:eastAsia="Calibri" w:hAnsi="Calibri" w:cs="Calibri"/>
                <w:sz w:val="22"/>
                <w:szCs w:val="22"/>
              </w:rPr>
              <w:t>$381</w:t>
            </w:r>
          </w:p>
        </w:tc>
        <w:tc>
          <w:tcPr>
            <w:tcW w:w="1214" w:type="dxa"/>
          </w:tcPr>
          <w:p w14:paraId="01584A58" w14:textId="54C1F331" w:rsidR="5942270A" w:rsidRPr="00732F60" w:rsidRDefault="5942270A">
            <w:pPr>
              <w:rPr>
                <w:sz w:val="22"/>
                <w:szCs w:val="22"/>
              </w:rPr>
            </w:pPr>
            <w:r w:rsidRPr="00732F60">
              <w:rPr>
                <w:rFonts w:ascii="Calibri" w:eastAsia="Calibri" w:hAnsi="Calibri" w:cs="Calibri"/>
                <w:sz w:val="22"/>
                <w:szCs w:val="22"/>
              </w:rPr>
              <w:t>$22</w:t>
            </w:r>
          </w:p>
        </w:tc>
      </w:tr>
      <w:tr w:rsidR="5942270A" w:rsidRPr="00732F60" w14:paraId="75C28060" w14:textId="77777777" w:rsidTr="00BD4289">
        <w:tc>
          <w:tcPr>
            <w:tcW w:w="6205" w:type="dxa"/>
          </w:tcPr>
          <w:p w14:paraId="54A92521" w14:textId="7B82CF3F" w:rsidR="5942270A" w:rsidRPr="00732F60" w:rsidRDefault="5942270A">
            <w:pPr>
              <w:rPr>
                <w:sz w:val="22"/>
                <w:szCs w:val="22"/>
              </w:rPr>
            </w:pPr>
            <w:r w:rsidRPr="00732F60">
              <w:rPr>
                <w:rFonts w:ascii="Calibri" w:eastAsia="Calibri" w:hAnsi="Calibri" w:cs="Calibri"/>
                <w:b/>
                <w:bCs/>
                <w:sz w:val="22"/>
                <w:szCs w:val="22"/>
              </w:rPr>
              <w:t>Total Road</w:t>
            </w:r>
          </w:p>
        </w:tc>
        <w:tc>
          <w:tcPr>
            <w:tcW w:w="1350" w:type="dxa"/>
          </w:tcPr>
          <w:p w14:paraId="11BCADAE" w14:textId="3A17C2F4" w:rsidR="5942270A" w:rsidRPr="00732F60" w:rsidRDefault="5942270A">
            <w:pPr>
              <w:rPr>
                <w:sz w:val="22"/>
                <w:szCs w:val="22"/>
              </w:rPr>
            </w:pPr>
            <w:r w:rsidRPr="00732F60">
              <w:rPr>
                <w:rFonts w:ascii="Calibri" w:eastAsia="Calibri" w:hAnsi="Calibri" w:cs="Calibri"/>
                <w:b/>
                <w:bCs/>
                <w:sz w:val="22"/>
                <w:szCs w:val="22"/>
              </w:rPr>
              <w:t>$381</w:t>
            </w:r>
          </w:p>
        </w:tc>
        <w:tc>
          <w:tcPr>
            <w:tcW w:w="1214" w:type="dxa"/>
          </w:tcPr>
          <w:p w14:paraId="56E913F8" w14:textId="67A34E1A" w:rsidR="5942270A" w:rsidRPr="00732F60" w:rsidRDefault="5942270A">
            <w:pPr>
              <w:rPr>
                <w:sz w:val="22"/>
                <w:szCs w:val="22"/>
              </w:rPr>
            </w:pPr>
            <w:r w:rsidRPr="00732F60">
              <w:rPr>
                <w:rFonts w:ascii="Calibri" w:eastAsia="Calibri" w:hAnsi="Calibri" w:cs="Calibri"/>
                <w:b/>
                <w:bCs/>
                <w:sz w:val="22"/>
                <w:szCs w:val="22"/>
              </w:rPr>
              <w:t>$22</w:t>
            </w:r>
          </w:p>
        </w:tc>
      </w:tr>
      <w:tr w:rsidR="5942270A" w:rsidRPr="00732F60" w14:paraId="538647E4" w14:textId="77777777" w:rsidTr="00BD4289">
        <w:tc>
          <w:tcPr>
            <w:tcW w:w="6205" w:type="dxa"/>
          </w:tcPr>
          <w:p w14:paraId="61626FF2" w14:textId="75EBD785" w:rsidR="5942270A" w:rsidRPr="00732F60" w:rsidRDefault="5942270A">
            <w:pPr>
              <w:rPr>
                <w:sz w:val="22"/>
                <w:szCs w:val="22"/>
              </w:rPr>
            </w:pPr>
            <w:r w:rsidRPr="00732F60">
              <w:rPr>
                <w:rFonts w:ascii="Calibri" w:eastAsia="Calibri" w:hAnsi="Calibri" w:cs="Calibri"/>
                <w:sz w:val="22"/>
                <w:szCs w:val="22"/>
              </w:rPr>
              <w:t>Science Team (resiliency and salvage)</w:t>
            </w:r>
          </w:p>
          <w:p w14:paraId="488DDAFE" w14:textId="1EAA606C" w:rsidR="5942270A" w:rsidRPr="00732F60" w:rsidRDefault="5942270A" w:rsidP="5942270A">
            <w:pPr>
              <w:rPr>
                <w:rFonts w:ascii="Calibri" w:eastAsia="Calibri" w:hAnsi="Calibri" w:cs="Calibri"/>
                <w:b/>
                <w:bCs/>
                <w:sz w:val="22"/>
                <w:szCs w:val="22"/>
              </w:rPr>
            </w:pPr>
          </w:p>
        </w:tc>
        <w:tc>
          <w:tcPr>
            <w:tcW w:w="1350" w:type="dxa"/>
          </w:tcPr>
          <w:p w14:paraId="2527C34A" w14:textId="717DFBC3" w:rsidR="5942270A" w:rsidRPr="00732F60" w:rsidRDefault="5942270A" w:rsidP="5942270A">
            <w:pPr>
              <w:rPr>
                <w:rFonts w:ascii="Calibri" w:eastAsia="Calibri" w:hAnsi="Calibri" w:cs="Calibri"/>
                <w:sz w:val="22"/>
                <w:szCs w:val="22"/>
              </w:rPr>
            </w:pPr>
            <w:r w:rsidRPr="00732F60">
              <w:rPr>
                <w:rFonts w:ascii="Calibri" w:eastAsia="Calibri" w:hAnsi="Calibri" w:cs="Calibri"/>
                <w:sz w:val="22"/>
                <w:szCs w:val="22"/>
              </w:rPr>
              <w:t>$24</w:t>
            </w:r>
          </w:p>
        </w:tc>
        <w:tc>
          <w:tcPr>
            <w:tcW w:w="1214" w:type="dxa"/>
          </w:tcPr>
          <w:p w14:paraId="5D7A6EDF" w14:textId="5B52723B" w:rsidR="5942270A" w:rsidRPr="00732F60" w:rsidRDefault="5942270A" w:rsidP="5942270A">
            <w:pPr>
              <w:rPr>
                <w:rFonts w:ascii="Calibri" w:eastAsia="Calibri" w:hAnsi="Calibri" w:cs="Calibri"/>
                <w:sz w:val="22"/>
                <w:szCs w:val="22"/>
              </w:rPr>
            </w:pPr>
            <w:r w:rsidRPr="00732F60">
              <w:rPr>
                <w:rFonts w:ascii="Calibri" w:eastAsia="Calibri" w:hAnsi="Calibri" w:cs="Calibri"/>
                <w:sz w:val="22"/>
                <w:szCs w:val="22"/>
              </w:rPr>
              <w:t>$2</w:t>
            </w:r>
          </w:p>
        </w:tc>
      </w:tr>
      <w:tr w:rsidR="5942270A" w:rsidRPr="00732F60" w14:paraId="3568A16E" w14:textId="77777777" w:rsidTr="00BD4289">
        <w:tc>
          <w:tcPr>
            <w:tcW w:w="6205" w:type="dxa"/>
          </w:tcPr>
          <w:p w14:paraId="1BC19C72" w14:textId="772DA228" w:rsidR="5942270A" w:rsidRPr="00732F60" w:rsidRDefault="5942270A">
            <w:pPr>
              <w:rPr>
                <w:sz w:val="22"/>
                <w:szCs w:val="22"/>
              </w:rPr>
            </w:pPr>
            <w:r w:rsidRPr="00732F60">
              <w:rPr>
                <w:rFonts w:ascii="Calibri" w:eastAsia="Calibri" w:hAnsi="Calibri" w:cs="Calibri"/>
                <w:sz w:val="22"/>
                <w:szCs w:val="22"/>
              </w:rPr>
              <w:t>Adaptive Management Group</w:t>
            </w:r>
          </w:p>
          <w:p w14:paraId="56417A45" w14:textId="42B7F840" w:rsidR="5942270A" w:rsidRPr="00732F60" w:rsidRDefault="5942270A" w:rsidP="5942270A">
            <w:pPr>
              <w:rPr>
                <w:rFonts w:ascii="Calibri" w:eastAsia="Calibri" w:hAnsi="Calibri" w:cs="Calibri"/>
                <w:b/>
                <w:bCs/>
                <w:sz w:val="22"/>
                <w:szCs w:val="22"/>
              </w:rPr>
            </w:pPr>
          </w:p>
        </w:tc>
        <w:tc>
          <w:tcPr>
            <w:tcW w:w="1350" w:type="dxa"/>
          </w:tcPr>
          <w:p w14:paraId="6E2059D3" w14:textId="5946CD13" w:rsidR="5942270A" w:rsidRPr="00732F60" w:rsidRDefault="5942270A" w:rsidP="5942270A">
            <w:pPr>
              <w:rPr>
                <w:rFonts w:ascii="Calibri" w:eastAsia="Calibri" w:hAnsi="Calibri" w:cs="Calibri"/>
                <w:sz w:val="22"/>
                <w:szCs w:val="22"/>
              </w:rPr>
            </w:pPr>
            <w:r w:rsidRPr="00732F60">
              <w:rPr>
                <w:rFonts w:ascii="Calibri" w:eastAsia="Calibri" w:hAnsi="Calibri" w:cs="Calibri"/>
                <w:sz w:val="22"/>
                <w:szCs w:val="22"/>
              </w:rPr>
              <w:t>$3</w:t>
            </w:r>
          </w:p>
        </w:tc>
        <w:tc>
          <w:tcPr>
            <w:tcW w:w="1214" w:type="dxa"/>
          </w:tcPr>
          <w:p w14:paraId="465850D4" w14:textId="50EE55EB" w:rsidR="5942270A" w:rsidRPr="00732F60" w:rsidRDefault="5942270A" w:rsidP="5942270A">
            <w:pPr>
              <w:rPr>
                <w:rFonts w:ascii="Calibri" w:eastAsia="Calibri" w:hAnsi="Calibri" w:cs="Calibri"/>
                <w:sz w:val="22"/>
                <w:szCs w:val="22"/>
              </w:rPr>
            </w:pPr>
            <w:r w:rsidRPr="00732F60">
              <w:rPr>
                <w:rFonts w:ascii="Calibri" w:eastAsia="Calibri" w:hAnsi="Calibri" w:cs="Calibri"/>
                <w:sz w:val="22"/>
                <w:szCs w:val="22"/>
              </w:rPr>
              <w:t>$1</w:t>
            </w:r>
          </w:p>
        </w:tc>
      </w:tr>
      <w:tr w:rsidR="5942270A" w:rsidRPr="00732F60" w14:paraId="197AE08B" w14:textId="77777777" w:rsidTr="00BD4289">
        <w:tc>
          <w:tcPr>
            <w:tcW w:w="6205" w:type="dxa"/>
          </w:tcPr>
          <w:p w14:paraId="1EBF4B80" w14:textId="5DFDB7E6" w:rsidR="5942270A" w:rsidRPr="00732F60" w:rsidRDefault="5942270A" w:rsidP="5942270A">
            <w:pPr>
              <w:rPr>
                <w:rFonts w:ascii="Calibri" w:eastAsia="Calibri" w:hAnsi="Calibri" w:cs="Calibri"/>
                <w:sz w:val="22"/>
                <w:szCs w:val="22"/>
              </w:rPr>
            </w:pPr>
            <w:r w:rsidRPr="00732F60">
              <w:rPr>
                <w:rFonts w:ascii="Calibri" w:eastAsia="Calibri" w:hAnsi="Calibri" w:cs="Calibri"/>
                <w:sz w:val="22"/>
                <w:szCs w:val="22"/>
              </w:rPr>
              <w:t>Collaboration</w:t>
            </w:r>
          </w:p>
        </w:tc>
        <w:tc>
          <w:tcPr>
            <w:tcW w:w="1350" w:type="dxa"/>
          </w:tcPr>
          <w:p w14:paraId="7618B726" w14:textId="42922A28" w:rsidR="5942270A" w:rsidRPr="00732F60" w:rsidRDefault="5942270A" w:rsidP="5942270A">
            <w:pPr>
              <w:rPr>
                <w:rFonts w:ascii="Calibri" w:eastAsia="Calibri" w:hAnsi="Calibri" w:cs="Calibri"/>
                <w:b/>
                <w:bCs/>
                <w:sz w:val="22"/>
                <w:szCs w:val="22"/>
              </w:rPr>
            </w:pPr>
            <w:r w:rsidRPr="00732F60">
              <w:rPr>
                <w:rFonts w:ascii="Calibri" w:eastAsia="Calibri" w:hAnsi="Calibri" w:cs="Calibri"/>
                <w:b/>
                <w:bCs/>
                <w:sz w:val="22"/>
                <w:szCs w:val="22"/>
              </w:rPr>
              <w:t>$27</w:t>
            </w:r>
          </w:p>
        </w:tc>
        <w:tc>
          <w:tcPr>
            <w:tcW w:w="1214" w:type="dxa"/>
          </w:tcPr>
          <w:p w14:paraId="44E02B54" w14:textId="6EF5EFD1" w:rsidR="5942270A" w:rsidRPr="00732F60" w:rsidRDefault="5942270A" w:rsidP="5942270A">
            <w:pPr>
              <w:rPr>
                <w:rFonts w:ascii="Calibri" w:eastAsia="Calibri" w:hAnsi="Calibri" w:cs="Calibri"/>
                <w:b/>
                <w:bCs/>
                <w:sz w:val="22"/>
                <w:szCs w:val="22"/>
              </w:rPr>
            </w:pPr>
            <w:r w:rsidRPr="00732F60">
              <w:rPr>
                <w:rFonts w:ascii="Calibri" w:eastAsia="Calibri" w:hAnsi="Calibri" w:cs="Calibri"/>
                <w:b/>
                <w:bCs/>
                <w:sz w:val="22"/>
                <w:szCs w:val="22"/>
              </w:rPr>
              <w:t>$3</w:t>
            </w:r>
          </w:p>
        </w:tc>
      </w:tr>
      <w:tr w:rsidR="5942270A" w:rsidRPr="00732F60" w14:paraId="35D66960" w14:textId="77777777" w:rsidTr="00BD4289">
        <w:tc>
          <w:tcPr>
            <w:tcW w:w="6205" w:type="dxa"/>
          </w:tcPr>
          <w:p w14:paraId="05296A49" w14:textId="1B700838" w:rsidR="5942270A" w:rsidRPr="00732F60" w:rsidRDefault="5942270A" w:rsidP="5942270A">
            <w:pPr>
              <w:jc w:val="right"/>
              <w:rPr>
                <w:rFonts w:ascii="Calibri" w:eastAsia="Calibri" w:hAnsi="Calibri" w:cs="Calibri"/>
                <w:sz w:val="22"/>
                <w:szCs w:val="22"/>
              </w:rPr>
            </w:pPr>
            <w:r w:rsidRPr="00732F60">
              <w:rPr>
                <w:rFonts w:ascii="Calibri" w:eastAsia="Calibri" w:hAnsi="Calibri" w:cs="Calibri"/>
                <w:sz w:val="22"/>
                <w:szCs w:val="22"/>
              </w:rPr>
              <w:t>Grand Total</w:t>
            </w:r>
          </w:p>
        </w:tc>
        <w:tc>
          <w:tcPr>
            <w:tcW w:w="1350" w:type="dxa"/>
          </w:tcPr>
          <w:p w14:paraId="1A5E60B7" w14:textId="0703AE83" w:rsidR="5942270A" w:rsidRPr="00732F60" w:rsidRDefault="5942270A" w:rsidP="5942270A">
            <w:pPr>
              <w:rPr>
                <w:rFonts w:ascii="Calibri" w:eastAsia="Calibri" w:hAnsi="Calibri" w:cs="Calibri"/>
                <w:b/>
                <w:bCs/>
                <w:sz w:val="22"/>
                <w:szCs w:val="22"/>
              </w:rPr>
            </w:pPr>
            <w:r w:rsidRPr="00732F60">
              <w:rPr>
                <w:rFonts w:ascii="Calibri" w:eastAsia="Calibri" w:hAnsi="Calibri" w:cs="Calibri"/>
                <w:b/>
                <w:bCs/>
                <w:sz w:val="22"/>
                <w:szCs w:val="22"/>
              </w:rPr>
              <w:t>$859</w:t>
            </w:r>
          </w:p>
        </w:tc>
        <w:tc>
          <w:tcPr>
            <w:tcW w:w="1214" w:type="dxa"/>
          </w:tcPr>
          <w:p w14:paraId="5D77AFCE" w14:textId="2C1F5766" w:rsidR="5942270A" w:rsidRPr="00732F60" w:rsidRDefault="5942270A" w:rsidP="5942270A">
            <w:pPr>
              <w:rPr>
                <w:rFonts w:ascii="Calibri" w:eastAsia="Calibri" w:hAnsi="Calibri" w:cs="Calibri"/>
                <w:sz w:val="22"/>
                <w:szCs w:val="22"/>
              </w:rPr>
            </w:pPr>
            <w:r w:rsidRPr="00732F60">
              <w:rPr>
                <w:rFonts w:ascii="Calibri" w:eastAsia="Calibri" w:hAnsi="Calibri" w:cs="Calibri"/>
                <w:b/>
                <w:bCs/>
                <w:sz w:val="22"/>
                <w:szCs w:val="22"/>
              </w:rPr>
              <w:t>$52</w:t>
            </w:r>
          </w:p>
        </w:tc>
      </w:tr>
    </w:tbl>
    <w:p w14:paraId="5CB14CF8" w14:textId="770EA88B" w:rsidR="00920DEC" w:rsidRDefault="00920DEC" w:rsidP="5942270A"/>
    <w:p w14:paraId="20D8DAAD" w14:textId="1C0ABCD8" w:rsidR="66D7261D" w:rsidRDefault="66D7261D" w:rsidP="66D7261D">
      <w:r>
        <w:t xml:space="preserve">Timber revenue and volume was gathered to analyze how it has changed over the duration of the project. Revenue for FY 2019 and FY 2020 has not been fully collected so it is not reported here. </w:t>
      </w:r>
    </w:p>
    <w:p w14:paraId="109E6D92" w14:textId="3DD83525" w:rsidR="66D7261D" w:rsidRDefault="66D7261D" w:rsidP="66D7261D">
      <w:r>
        <w:t>Table 2. Commercial revenue collected per timber volume (CCF) sold for SBEADMR project for FYs 2017-2018.</w:t>
      </w:r>
    </w:p>
    <w:tbl>
      <w:tblPr>
        <w:tblStyle w:val="TableGrid"/>
        <w:tblW w:w="0" w:type="auto"/>
        <w:tblLayout w:type="fixed"/>
        <w:tblLook w:val="06A0" w:firstRow="1" w:lastRow="0" w:firstColumn="1" w:lastColumn="0" w:noHBand="1" w:noVBand="1"/>
      </w:tblPr>
      <w:tblGrid>
        <w:gridCol w:w="810"/>
        <w:gridCol w:w="1270"/>
        <w:gridCol w:w="1125"/>
        <w:gridCol w:w="1170"/>
        <w:gridCol w:w="1110"/>
        <w:gridCol w:w="1080"/>
        <w:gridCol w:w="1080"/>
        <w:gridCol w:w="855"/>
        <w:gridCol w:w="870"/>
      </w:tblGrid>
      <w:tr w:rsidR="66D7261D" w14:paraId="64B6FBA5" w14:textId="77777777" w:rsidTr="66D7261D">
        <w:tc>
          <w:tcPr>
            <w:tcW w:w="810" w:type="dxa"/>
          </w:tcPr>
          <w:p w14:paraId="32C9CFB2" w14:textId="123664EC" w:rsidR="66D7261D" w:rsidRDefault="66D7261D" w:rsidP="66D7261D">
            <w:r w:rsidRPr="66D7261D">
              <w:rPr>
                <w:rFonts w:ascii="Calibri" w:eastAsia="Calibri" w:hAnsi="Calibri" w:cs="Calibri"/>
                <w:b/>
                <w:bCs/>
                <w:color w:val="000000" w:themeColor="text1"/>
                <w:sz w:val="22"/>
                <w:szCs w:val="22"/>
              </w:rPr>
              <w:t>Fiscal Year</w:t>
            </w:r>
          </w:p>
        </w:tc>
        <w:tc>
          <w:tcPr>
            <w:tcW w:w="1270" w:type="dxa"/>
          </w:tcPr>
          <w:p w14:paraId="0822FFB3" w14:textId="7E896391" w:rsidR="66D7261D" w:rsidRDefault="66D7261D" w:rsidP="66D7261D">
            <w:r w:rsidRPr="66D7261D">
              <w:rPr>
                <w:rFonts w:ascii="Calibri" w:eastAsia="Calibri" w:hAnsi="Calibri" w:cs="Calibri"/>
                <w:b/>
                <w:bCs/>
                <w:color w:val="000000" w:themeColor="text1"/>
                <w:sz w:val="22"/>
                <w:szCs w:val="22"/>
              </w:rPr>
              <w:t xml:space="preserve"> Stumpage Collected </w:t>
            </w:r>
          </w:p>
        </w:tc>
        <w:tc>
          <w:tcPr>
            <w:tcW w:w="1125" w:type="dxa"/>
          </w:tcPr>
          <w:p w14:paraId="446213F0" w14:textId="39648F1E" w:rsidR="66D7261D" w:rsidRDefault="66D7261D" w:rsidP="66D7261D">
            <w:r w:rsidRPr="66D7261D">
              <w:rPr>
                <w:rFonts w:ascii="Calibri" w:eastAsia="Calibri" w:hAnsi="Calibri" w:cs="Calibri"/>
                <w:b/>
                <w:bCs/>
                <w:color w:val="000000" w:themeColor="text1"/>
                <w:sz w:val="22"/>
                <w:szCs w:val="22"/>
              </w:rPr>
              <w:t xml:space="preserve"> Brush Disposal Deposit Collected </w:t>
            </w:r>
          </w:p>
        </w:tc>
        <w:tc>
          <w:tcPr>
            <w:tcW w:w="1170" w:type="dxa"/>
          </w:tcPr>
          <w:p w14:paraId="6E73CEB0" w14:textId="2E74B7C0" w:rsidR="66D7261D" w:rsidRDefault="66D7261D" w:rsidP="66D7261D">
            <w:r w:rsidRPr="66D7261D">
              <w:rPr>
                <w:rFonts w:ascii="Calibri" w:eastAsia="Calibri" w:hAnsi="Calibri" w:cs="Calibri"/>
                <w:b/>
                <w:bCs/>
                <w:color w:val="000000" w:themeColor="text1"/>
                <w:sz w:val="22"/>
                <w:szCs w:val="22"/>
              </w:rPr>
              <w:t xml:space="preserve"> Surface Rock Deposits Collected </w:t>
            </w:r>
          </w:p>
        </w:tc>
        <w:tc>
          <w:tcPr>
            <w:tcW w:w="1110" w:type="dxa"/>
          </w:tcPr>
          <w:p w14:paraId="41D41A41" w14:textId="79DD0E4E" w:rsidR="66D7261D" w:rsidRDefault="66D7261D" w:rsidP="66D7261D">
            <w:r w:rsidRPr="66D7261D">
              <w:rPr>
                <w:rFonts w:ascii="Calibri" w:eastAsia="Calibri" w:hAnsi="Calibri" w:cs="Calibri"/>
                <w:b/>
                <w:bCs/>
                <w:color w:val="000000" w:themeColor="text1"/>
                <w:sz w:val="22"/>
                <w:szCs w:val="22"/>
              </w:rPr>
              <w:t xml:space="preserve"> Road Maintenance Deposits Collected </w:t>
            </w:r>
          </w:p>
        </w:tc>
        <w:tc>
          <w:tcPr>
            <w:tcW w:w="1080" w:type="dxa"/>
          </w:tcPr>
          <w:p w14:paraId="654CF77A" w14:textId="4A240A01" w:rsidR="66D7261D" w:rsidRDefault="66D7261D" w:rsidP="66D7261D">
            <w:r w:rsidRPr="66D7261D">
              <w:rPr>
                <w:rFonts w:ascii="Calibri" w:eastAsia="Calibri" w:hAnsi="Calibri" w:cs="Calibri"/>
                <w:b/>
                <w:bCs/>
                <w:color w:val="000000" w:themeColor="text1"/>
                <w:sz w:val="22"/>
                <w:szCs w:val="22"/>
              </w:rPr>
              <w:t xml:space="preserve"> DRES Deposits Collected </w:t>
            </w:r>
          </w:p>
        </w:tc>
        <w:tc>
          <w:tcPr>
            <w:tcW w:w="1080" w:type="dxa"/>
          </w:tcPr>
          <w:p w14:paraId="3E667BA3" w14:textId="2FC9D832" w:rsidR="66D7261D" w:rsidRDefault="66D7261D" w:rsidP="66D7261D">
            <w:r w:rsidRPr="66D7261D">
              <w:rPr>
                <w:rFonts w:ascii="Calibri" w:eastAsia="Calibri" w:hAnsi="Calibri" w:cs="Calibri"/>
                <w:b/>
                <w:bCs/>
                <w:color w:val="000000" w:themeColor="text1"/>
                <w:sz w:val="22"/>
                <w:szCs w:val="22"/>
              </w:rPr>
              <w:t xml:space="preserve"> Total Collections </w:t>
            </w:r>
          </w:p>
        </w:tc>
        <w:tc>
          <w:tcPr>
            <w:tcW w:w="855" w:type="dxa"/>
          </w:tcPr>
          <w:p w14:paraId="39863982" w14:textId="3972F9C3" w:rsidR="66D7261D" w:rsidRDefault="66D7261D" w:rsidP="66D7261D">
            <w:r w:rsidRPr="66D7261D">
              <w:rPr>
                <w:rFonts w:ascii="Calibri" w:eastAsia="Calibri" w:hAnsi="Calibri" w:cs="Calibri"/>
                <w:b/>
                <w:bCs/>
                <w:color w:val="000000" w:themeColor="text1"/>
                <w:sz w:val="22"/>
                <w:szCs w:val="22"/>
              </w:rPr>
              <w:t xml:space="preserve"> Total CCF </w:t>
            </w:r>
          </w:p>
        </w:tc>
        <w:tc>
          <w:tcPr>
            <w:tcW w:w="870" w:type="dxa"/>
          </w:tcPr>
          <w:p w14:paraId="678BA67F" w14:textId="343B8E41" w:rsidR="66D7261D" w:rsidRDefault="66D7261D" w:rsidP="66D7261D">
            <w:r w:rsidRPr="66D7261D">
              <w:rPr>
                <w:rFonts w:ascii="Calibri" w:eastAsia="Calibri" w:hAnsi="Calibri" w:cs="Calibri"/>
                <w:b/>
                <w:bCs/>
                <w:color w:val="000000" w:themeColor="text1"/>
                <w:sz w:val="22"/>
                <w:szCs w:val="22"/>
              </w:rPr>
              <w:t xml:space="preserve"> $ per CCF </w:t>
            </w:r>
          </w:p>
        </w:tc>
      </w:tr>
      <w:tr w:rsidR="66D7261D" w14:paraId="753E70EE" w14:textId="77777777" w:rsidTr="66D7261D">
        <w:tc>
          <w:tcPr>
            <w:tcW w:w="810" w:type="dxa"/>
          </w:tcPr>
          <w:p w14:paraId="5C80714F" w14:textId="2AD74FA4" w:rsidR="66D7261D" w:rsidRDefault="66D7261D" w:rsidP="66D7261D">
            <w:r w:rsidRPr="66D7261D">
              <w:rPr>
                <w:rFonts w:ascii="Calibri" w:eastAsia="Calibri" w:hAnsi="Calibri" w:cs="Calibri"/>
                <w:color w:val="000000" w:themeColor="text1"/>
                <w:sz w:val="22"/>
                <w:szCs w:val="22"/>
              </w:rPr>
              <w:t>2017</w:t>
            </w:r>
          </w:p>
        </w:tc>
        <w:tc>
          <w:tcPr>
            <w:tcW w:w="1270" w:type="dxa"/>
          </w:tcPr>
          <w:p w14:paraId="26A42AE4" w14:textId="4D000AA5" w:rsidR="66D7261D" w:rsidRDefault="66D7261D" w:rsidP="66D7261D">
            <w:r w:rsidRPr="66D7261D">
              <w:rPr>
                <w:rFonts w:ascii="Calibri" w:eastAsia="Calibri" w:hAnsi="Calibri" w:cs="Calibri"/>
                <w:color w:val="000000" w:themeColor="text1"/>
                <w:sz w:val="22"/>
                <w:szCs w:val="22"/>
              </w:rPr>
              <w:t>$413,497</w:t>
            </w:r>
          </w:p>
        </w:tc>
        <w:tc>
          <w:tcPr>
            <w:tcW w:w="1125" w:type="dxa"/>
          </w:tcPr>
          <w:p w14:paraId="4FA48C1D" w14:textId="630E15D3" w:rsidR="66D7261D" w:rsidRDefault="66D7261D" w:rsidP="66D7261D">
            <w:r w:rsidRPr="66D7261D">
              <w:rPr>
                <w:rFonts w:ascii="Calibri" w:eastAsia="Calibri" w:hAnsi="Calibri" w:cs="Calibri"/>
                <w:color w:val="000000" w:themeColor="text1"/>
                <w:sz w:val="22"/>
                <w:szCs w:val="22"/>
              </w:rPr>
              <w:t>$78,052</w:t>
            </w:r>
          </w:p>
        </w:tc>
        <w:tc>
          <w:tcPr>
            <w:tcW w:w="1170" w:type="dxa"/>
          </w:tcPr>
          <w:p w14:paraId="2AE456F4" w14:textId="299F4FC7" w:rsidR="66D7261D" w:rsidRDefault="66D7261D" w:rsidP="66D7261D">
            <w:r w:rsidRPr="66D7261D">
              <w:rPr>
                <w:rFonts w:ascii="Calibri" w:eastAsia="Calibri" w:hAnsi="Calibri" w:cs="Calibri"/>
                <w:color w:val="000000" w:themeColor="text1"/>
                <w:sz w:val="22"/>
                <w:szCs w:val="22"/>
              </w:rPr>
              <w:t>$36,993</w:t>
            </w:r>
          </w:p>
        </w:tc>
        <w:tc>
          <w:tcPr>
            <w:tcW w:w="1110" w:type="dxa"/>
          </w:tcPr>
          <w:p w14:paraId="6DA16F0F" w14:textId="7873F56F" w:rsidR="66D7261D" w:rsidRDefault="66D7261D" w:rsidP="66D7261D">
            <w:r w:rsidRPr="66D7261D">
              <w:rPr>
                <w:rFonts w:ascii="Calibri" w:eastAsia="Calibri" w:hAnsi="Calibri" w:cs="Calibri"/>
                <w:color w:val="000000" w:themeColor="text1"/>
                <w:sz w:val="22"/>
                <w:szCs w:val="22"/>
              </w:rPr>
              <w:t>$10,679</w:t>
            </w:r>
          </w:p>
        </w:tc>
        <w:tc>
          <w:tcPr>
            <w:tcW w:w="1080" w:type="dxa"/>
          </w:tcPr>
          <w:p w14:paraId="20998C1B" w14:textId="613171A9" w:rsidR="66D7261D" w:rsidRDefault="66D7261D" w:rsidP="66D7261D">
            <w:r w:rsidRPr="66D7261D">
              <w:rPr>
                <w:rFonts w:ascii="Calibri" w:eastAsia="Calibri" w:hAnsi="Calibri" w:cs="Calibri"/>
                <w:color w:val="000000" w:themeColor="text1"/>
                <w:sz w:val="22"/>
                <w:szCs w:val="22"/>
              </w:rPr>
              <w:t>$8,709</w:t>
            </w:r>
          </w:p>
        </w:tc>
        <w:tc>
          <w:tcPr>
            <w:tcW w:w="1080" w:type="dxa"/>
          </w:tcPr>
          <w:p w14:paraId="1D50972B" w14:textId="3E8F15E6" w:rsidR="66D7261D" w:rsidRDefault="66D7261D" w:rsidP="66D7261D">
            <w:r w:rsidRPr="66D7261D">
              <w:rPr>
                <w:rFonts w:ascii="Calibri" w:eastAsia="Calibri" w:hAnsi="Calibri" w:cs="Calibri"/>
                <w:color w:val="000000" w:themeColor="text1"/>
                <w:sz w:val="22"/>
                <w:szCs w:val="22"/>
              </w:rPr>
              <w:t>$547,930</w:t>
            </w:r>
          </w:p>
        </w:tc>
        <w:tc>
          <w:tcPr>
            <w:tcW w:w="855" w:type="dxa"/>
          </w:tcPr>
          <w:p w14:paraId="5337D8F4" w14:textId="109911CA" w:rsidR="66D7261D" w:rsidRDefault="66D7261D" w:rsidP="66D7261D">
            <w:pPr>
              <w:rPr>
                <w:b/>
                <w:bCs/>
                <w:color w:val="000000" w:themeColor="text1"/>
                <w:sz w:val="22"/>
                <w:szCs w:val="22"/>
              </w:rPr>
            </w:pPr>
            <w:r w:rsidRPr="66D7261D">
              <w:rPr>
                <w:b/>
                <w:bCs/>
                <w:color w:val="000000" w:themeColor="text1"/>
                <w:sz w:val="22"/>
                <w:szCs w:val="22"/>
              </w:rPr>
              <w:t>59,818</w:t>
            </w:r>
          </w:p>
        </w:tc>
        <w:tc>
          <w:tcPr>
            <w:tcW w:w="870" w:type="dxa"/>
          </w:tcPr>
          <w:p w14:paraId="07BAC642" w14:textId="25C1F316" w:rsidR="66D7261D" w:rsidRDefault="66D7261D" w:rsidP="66D7261D">
            <w:pPr>
              <w:rPr>
                <w:rFonts w:ascii="Calibri" w:eastAsia="Calibri" w:hAnsi="Calibri" w:cs="Calibri"/>
                <w:b/>
                <w:bCs/>
                <w:color w:val="000000" w:themeColor="text1"/>
                <w:sz w:val="22"/>
                <w:szCs w:val="22"/>
              </w:rPr>
            </w:pPr>
            <w:r w:rsidRPr="66D7261D">
              <w:rPr>
                <w:rFonts w:ascii="Calibri" w:eastAsia="Calibri" w:hAnsi="Calibri" w:cs="Calibri"/>
                <w:b/>
                <w:bCs/>
                <w:color w:val="000000" w:themeColor="text1"/>
                <w:sz w:val="22"/>
                <w:szCs w:val="22"/>
              </w:rPr>
              <w:t>$9.16</w:t>
            </w:r>
          </w:p>
        </w:tc>
      </w:tr>
      <w:tr w:rsidR="66D7261D" w14:paraId="38439854" w14:textId="77777777" w:rsidTr="66D7261D">
        <w:tc>
          <w:tcPr>
            <w:tcW w:w="810" w:type="dxa"/>
          </w:tcPr>
          <w:p w14:paraId="2388D52A" w14:textId="32AB27F2" w:rsidR="66D7261D" w:rsidRDefault="66D7261D" w:rsidP="66D7261D">
            <w:r w:rsidRPr="66D7261D">
              <w:rPr>
                <w:rFonts w:ascii="Calibri" w:eastAsia="Calibri" w:hAnsi="Calibri" w:cs="Calibri"/>
                <w:color w:val="000000" w:themeColor="text1"/>
                <w:sz w:val="22"/>
                <w:szCs w:val="22"/>
              </w:rPr>
              <w:t>2018</w:t>
            </w:r>
          </w:p>
        </w:tc>
        <w:tc>
          <w:tcPr>
            <w:tcW w:w="1270" w:type="dxa"/>
          </w:tcPr>
          <w:p w14:paraId="3DAA5B7B" w14:textId="3E4E6F9E" w:rsidR="66D7261D" w:rsidRDefault="66D7261D" w:rsidP="66D7261D">
            <w:r w:rsidRPr="66D7261D">
              <w:rPr>
                <w:rFonts w:ascii="Calibri" w:eastAsia="Calibri" w:hAnsi="Calibri" w:cs="Calibri"/>
                <w:color w:val="000000" w:themeColor="text1"/>
                <w:sz w:val="22"/>
                <w:szCs w:val="22"/>
              </w:rPr>
              <w:t>$668,039</w:t>
            </w:r>
          </w:p>
        </w:tc>
        <w:tc>
          <w:tcPr>
            <w:tcW w:w="1125" w:type="dxa"/>
          </w:tcPr>
          <w:p w14:paraId="3ADAFF6F" w14:textId="1787959B" w:rsidR="66D7261D" w:rsidRDefault="66D7261D" w:rsidP="66D7261D">
            <w:r w:rsidRPr="66D7261D">
              <w:rPr>
                <w:rFonts w:ascii="Calibri" w:eastAsia="Calibri" w:hAnsi="Calibri" w:cs="Calibri"/>
                <w:color w:val="000000" w:themeColor="text1"/>
                <w:sz w:val="22"/>
                <w:szCs w:val="22"/>
              </w:rPr>
              <w:t>$85,785</w:t>
            </w:r>
          </w:p>
        </w:tc>
        <w:tc>
          <w:tcPr>
            <w:tcW w:w="1170" w:type="dxa"/>
          </w:tcPr>
          <w:p w14:paraId="2AC7691D" w14:textId="6F546CCD" w:rsidR="66D7261D" w:rsidRDefault="66D7261D" w:rsidP="66D7261D">
            <w:r w:rsidRPr="66D7261D">
              <w:rPr>
                <w:rFonts w:ascii="Calibri" w:eastAsia="Calibri" w:hAnsi="Calibri" w:cs="Calibri"/>
                <w:color w:val="000000" w:themeColor="text1"/>
                <w:sz w:val="22"/>
                <w:szCs w:val="22"/>
              </w:rPr>
              <w:t>$41,877</w:t>
            </w:r>
          </w:p>
        </w:tc>
        <w:tc>
          <w:tcPr>
            <w:tcW w:w="1110" w:type="dxa"/>
          </w:tcPr>
          <w:p w14:paraId="07BD7269" w14:textId="757D7F1D" w:rsidR="66D7261D" w:rsidRDefault="66D7261D" w:rsidP="66D7261D">
            <w:r w:rsidRPr="66D7261D">
              <w:rPr>
                <w:rFonts w:ascii="Calibri" w:eastAsia="Calibri" w:hAnsi="Calibri" w:cs="Calibri"/>
                <w:color w:val="000000" w:themeColor="text1"/>
                <w:sz w:val="22"/>
                <w:szCs w:val="22"/>
              </w:rPr>
              <w:t>$3,419</w:t>
            </w:r>
          </w:p>
        </w:tc>
        <w:tc>
          <w:tcPr>
            <w:tcW w:w="1080" w:type="dxa"/>
          </w:tcPr>
          <w:p w14:paraId="48A9605F" w14:textId="79A363EB" w:rsidR="66D7261D" w:rsidRDefault="66D7261D" w:rsidP="66D7261D">
            <w:r w:rsidRPr="66D7261D">
              <w:rPr>
                <w:rFonts w:ascii="Calibri" w:eastAsia="Calibri" w:hAnsi="Calibri" w:cs="Calibri"/>
                <w:color w:val="000000" w:themeColor="text1"/>
                <w:sz w:val="22"/>
                <w:szCs w:val="22"/>
              </w:rPr>
              <w:t>$4,575</w:t>
            </w:r>
          </w:p>
        </w:tc>
        <w:tc>
          <w:tcPr>
            <w:tcW w:w="1080" w:type="dxa"/>
          </w:tcPr>
          <w:p w14:paraId="331DF5E2" w14:textId="289DA31D" w:rsidR="66D7261D" w:rsidRDefault="66D7261D" w:rsidP="66D7261D">
            <w:r w:rsidRPr="66D7261D">
              <w:rPr>
                <w:rFonts w:ascii="Calibri" w:eastAsia="Calibri" w:hAnsi="Calibri" w:cs="Calibri"/>
                <w:color w:val="000000" w:themeColor="text1"/>
                <w:sz w:val="22"/>
                <w:szCs w:val="22"/>
              </w:rPr>
              <w:t>$803,695</w:t>
            </w:r>
          </w:p>
        </w:tc>
        <w:tc>
          <w:tcPr>
            <w:tcW w:w="855" w:type="dxa"/>
          </w:tcPr>
          <w:p w14:paraId="0AB8EE26" w14:textId="0660D86D" w:rsidR="66D7261D" w:rsidRDefault="66D7261D" w:rsidP="66D7261D">
            <w:pPr>
              <w:rPr>
                <w:rFonts w:ascii="Calibri" w:eastAsia="Calibri" w:hAnsi="Calibri" w:cs="Calibri"/>
                <w:b/>
                <w:bCs/>
                <w:color w:val="000000" w:themeColor="text1"/>
                <w:sz w:val="22"/>
                <w:szCs w:val="22"/>
              </w:rPr>
            </w:pPr>
            <w:r w:rsidRPr="66D7261D">
              <w:rPr>
                <w:rFonts w:ascii="Calibri" w:eastAsia="Calibri" w:hAnsi="Calibri" w:cs="Calibri"/>
                <w:b/>
                <w:bCs/>
                <w:color w:val="000000" w:themeColor="text1"/>
                <w:sz w:val="22"/>
                <w:szCs w:val="22"/>
              </w:rPr>
              <w:t>72,131</w:t>
            </w:r>
          </w:p>
        </w:tc>
        <w:tc>
          <w:tcPr>
            <w:tcW w:w="870" w:type="dxa"/>
          </w:tcPr>
          <w:p w14:paraId="29FFC51E" w14:textId="135E82D5" w:rsidR="66D7261D" w:rsidRDefault="66D7261D" w:rsidP="66D7261D">
            <w:pPr>
              <w:rPr>
                <w:rFonts w:ascii="Calibri" w:eastAsia="Calibri" w:hAnsi="Calibri" w:cs="Calibri"/>
                <w:b/>
                <w:bCs/>
                <w:color w:val="000000" w:themeColor="text1"/>
                <w:sz w:val="22"/>
                <w:szCs w:val="22"/>
              </w:rPr>
            </w:pPr>
            <w:r w:rsidRPr="66D7261D">
              <w:rPr>
                <w:rFonts w:ascii="Calibri" w:eastAsia="Calibri" w:hAnsi="Calibri" w:cs="Calibri"/>
                <w:b/>
                <w:bCs/>
                <w:color w:val="000000" w:themeColor="text1"/>
                <w:sz w:val="22"/>
                <w:szCs w:val="22"/>
              </w:rPr>
              <w:t>$11.14</w:t>
            </w:r>
          </w:p>
        </w:tc>
      </w:tr>
    </w:tbl>
    <w:p w14:paraId="7CAF8FB6" w14:textId="245AA5EB" w:rsidR="66D7261D" w:rsidRDefault="66D7261D" w:rsidP="66D7261D"/>
    <w:p w14:paraId="72F64F9C" w14:textId="33FD33BE" w:rsidR="66D7261D" w:rsidRDefault="66D7261D" w:rsidP="66D7261D">
      <w:r>
        <w:t xml:space="preserve">Over $1.5 million in revenue has been collected over the SBEAMR project with Montrose Forest Products (MFP) being the largest purchaser. There have not been any non-commercial treatments implemented to date for SBEADMR.  No bid timber sales are also monitored for the project. There has been only 1 no bid since the inception of SBEAMR, the </w:t>
      </w:r>
      <w:proofErr w:type="spellStart"/>
      <w:r>
        <w:t>Kannah</w:t>
      </w:r>
      <w:proofErr w:type="spellEnd"/>
      <w:r>
        <w:t xml:space="preserve"> Timber Sale in 2020. This was due to </w:t>
      </w:r>
      <w:r>
        <w:lastRenderedPageBreak/>
        <w:t>winter logging restrictions. Through collaboration with the Grand Mesa Nordic Club, these winter logging restrictions have been adjusted and industry is now supportive of the sale and it will be advertised in 2021.</w:t>
      </w:r>
    </w:p>
    <w:p w14:paraId="71F13011" w14:textId="4D75DFD3" w:rsidR="66D7261D" w:rsidRDefault="12CE2CE8" w:rsidP="66D7261D">
      <w:r>
        <w:t xml:space="preserve">Wood harvested from the SBEADMR project has been utilized primarily by MFP (60%), followed by the Colorado State Forest Service (CSFS) (26%), the Wild Turkey Federation (7%), and other small producers (7%). MFP has utilized the timber to produce various dimensional studs through its milling operations. The wood harvested by the CSFS was used for sawtimber.  There were only 6 different producers for the project between FYs 2016-2020 dominated by MFP. Wood utilization has not had direct impacts on non-government employment for the local economy. </w:t>
      </w:r>
      <w:r w:rsidRPr="12CE2CE8">
        <w:rPr>
          <w:rFonts w:ascii="Calibri" w:eastAsia="Calibri" w:hAnsi="Calibri" w:cs="Calibri"/>
        </w:rPr>
        <w:t>Montrose Forest Products reports that no additional manpower has been added to sawmilling staff nor have they added loggers or log truckers as a direct result of SBEADMR timber but without SBEADMR timber sales it would be difficult to continue operating the sawmill at current capacity.</w:t>
      </w:r>
    </w:p>
    <w:p w14:paraId="232163E9" w14:textId="6D150498" w:rsidR="00920DEC" w:rsidRDefault="66D7261D" w:rsidP="00920DEC">
      <w:pPr>
        <w:pStyle w:val="Heading3"/>
      </w:pPr>
      <w:r>
        <w:t>Interpretation of results for AMG</w:t>
      </w:r>
    </w:p>
    <w:p w14:paraId="36FC0DB2" w14:textId="644FE60A" w:rsidR="00732F60" w:rsidRPr="00732F60" w:rsidRDefault="3BEF3B5C" w:rsidP="01335D49">
      <w:r>
        <w:t xml:space="preserve">It is not clear at this point how administrative costs have changed over the course of the project. Personnel costs have been identified as the largest issue affecting cost with pre-sale activities being the largest component of cost. There are few small-scale producers that are utilizing timber from the project area, with the overwhelming majority coming from MFP. </w:t>
      </w:r>
      <w:r w:rsidRPr="3BEF3B5C">
        <w:rPr>
          <w:rFonts w:ascii="Calibri" w:eastAsia="Calibri" w:hAnsi="Calibri" w:cs="Calibri"/>
        </w:rPr>
        <w:t xml:space="preserve">SBEADMR has not had a significant impact on local producers’ </w:t>
      </w:r>
      <w:proofErr w:type="gramStart"/>
      <w:r w:rsidRPr="3BEF3B5C">
        <w:rPr>
          <w:rFonts w:ascii="Calibri" w:eastAsia="Calibri" w:hAnsi="Calibri" w:cs="Calibri"/>
        </w:rPr>
        <w:t>employment, but</w:t>
      </w:r>
      <w:proofErr w:type="gramEnd"/>
      <w:r w:rsidRPr="3BEF3B5C">
        <w:rPr>
          <w:rFonts w:ascii="Calibri" w:eastAsia="Calibri" w:hAnsi="Calibri" w:cs="Calibri"/>
        </w:rPr>
        <w:t xml:space="preserve"> is noted as important for local mill supply chain (MFP). As harvest moves from salvage to resiliency or green treatments there </w:t>
      </w:r>
      <w:r w:rsidR="00850020">
        <w:rPr>
          <w:rFonts w:ascii="Calibri" w:eastAsia="Calibri" w:hAnsi="Calibri" w:cs="Calibri"/>
        </w:rPr>
        <w:t>will be</w:t>
      </w:r>
      <w:r w:rsidRPr="3BEF3B5C">
        <w:rPr>
          <w:rFonts w:ascii="Calibri" w:eastAsia="Calibri" w:hAnsi="Calibri" w:cs="Calibri"/>
        </w:rPr>
        <w:t xml:space="preserve"> opportunities to compare how personnel costs vary between the two types of treatment.</w:t>
      </w:r>
    </w:p>
    <w:sectPr w:rsidR="00732F60" w:rsidRPr="00732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FD8"/>
    <w:multiLevelType w:val="hybridMultilevel"/>
    <w:tmpl w:val="1B5CD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2B68"/>
    <w:multiLevelType w:val="hybridMultilevel"/>
    <w:tmpl w:val="F3F83A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0E97"/>
    <w:multiLevelType w:val="hybridMultilevel"/>
    <w:tmpl w:val="EA9CF276"/>
    <w:lvl w:ilvl="0" w:tplc="4BAED58A">
      <w:start w:val="1"/>
      <w:numFmt w:val="bullet"/>
      <w:lvlText w:val=""/>
      <w:lvlJc w:val="left"/>
      <w:pPr>
        <w:ind w:left="360" w:hanging="360"/>
      </w:pPr>
      <w:rPr>
        <w:rFonts w:ascii="Symbol" w:hAnsi="Symbol" w:hint="default"/>
      </w:rPr>
    </w:lvl>
    <w:lvl w:ilvl="1" w:tplc="A9EE895E">
      <w:start w:val="1"/>
      <w:numFmt w:val="bullet"/>
      <w:lvlText w:val="o"/>
      <w:lvlJc w:val="left"/>
      <w:pPr>
        <w:ind w:left="1080" w:hanging="360"/>
      </w:pPr>
      <w:rPr>
        <w:rFonts w:ascii="Courier New" w:hAnsi="Courier New" w:hint="default"/>
      </w:rPr>
    </w:lvl>
    <w:lvl w:ilvl="2" w:tplc="798A1AB4">
      <w:start w:val="1"/>
      <w:numFmt w:val="bullet"/>
      <w:lvlText w:val=""/>
      <w:lvlJc w:val="left"/>
      <w:pPr>
        <w:ind w:left="1800" w:hanging="360"/>
      </w:pPr>
      <w:rPr>
        <w:rFonts w:ascii="Wingdings" w:hAnsi="Wingdings" w:hint="default"/>
      </w:rPr>
    </w:lvl>
    <w:lvl w:ilvl="3" w:tplc="EAA43548">
      <w:start w:val="1"/>
      <w:numFmt w:val="bullet"/>
      <w:lvlText w:val=""/>
      <w:lvlJc w:val="left"/>
      <w:pPr>
        <w:ind w:left="2520" w:hanging="360"/>
      </w:pPr>
      <w:rPr>
        <w:rFonts w:ascii="Symbol" w:hAnsi="Symbol" w:hint="default"/>
      </w:rPr>
    </w:lvl>
    <w:lvl w:ilvl="4" w:tplc="70AC0DD8">
      <w:start w:val="1"/>
      <w:numFmt w:val="bullet"/>
      <w:lvlText w:val="o"/>
      <w:lvlJc w:val="left"/>
      <w:pPr>
        <w:ind w:left="3240" w:hanging="360"/>
      </w:pPr>
      <w:rPr>
        <w:rFonts w:ascii="Courier New" w:hAnsi="Courier New" w:hint="default"/>
      </w:rPr>
    </w:lvl>
    <w:lvl w:ilvl="5" w:tplc="8F7E719C">
      <w:start w:val="1"/>
      <w:numFmt w:val="bullet"/>
      <w:lvlText w:val=""/>
      <w:lvlJc w:val="left"/>
      <w:pPr>
        <w:ind w:left="3960" w:hanging="360"/>
      </w:pPr>
      <w:rPr>
        <w:rFonts w:ascii="Wingdings" w:hAnsi="Wingdings" w:hint="default"/>
      </w:rPr>
    </w:lvl>
    <w:lvl w:ilvl="6" w:tplc="D20CC7D8">
      <w:start w:val="1"/>
      <w:numFmt w:val="bullet"/>
      <w:lvlText w:val=""/>
      <w:lvlJc w:val="left"/>
      <w:pPr>
        <w:ind w:left="4680" w:hanging="360"/>
      </w:pPr>
      <w:rPr>
        <w:rFonts w:ascii="Symbol" w:hAnsi="Symbol" w:hint="default"/>
      </w:rPr>
    </w:lvl>
    <w:lvl w:ilvl="7" w:tplc="6720967E">
      <w:start w:val="1"/>
      <w:numFmt w:val="bullet"/>
      <w:lvlText w:val="o"/>
      <w:lvlJc w:val="left"/>
      <w:pPr>
        <w:ind w:left="5400" w:hanging="360"/>
      </w:pPr>
      <w:rPr>
        <w:rFonts w:ascii="Courier New" w:hAnsi="Courier New" w:hint="default"/>
      </w:rPr>
    </w:lvl>
    <w:lvl w:ilvl="8" w:tplc="C9EC171C">
      <w:start w:val="1"/>
      <w:numFmt w:val="bullet"/>
      <w:lvlText w:val=""/>
      <w:lvlJc w:val="left"/>
      <w:pPr>
        <w:ind w:left="6120" w:hanging="360"/>
      </w:pPr>
      <w:rPr>
        <w:rFonts w:ascii="Wingdings" w:hAnsi="Wingdings" w:hint="default"/>
      </w:rPr>
    </w:lvl>
  </w:abstractNum>
  <w:abstractNum w:abstractNumId="3" w15:restartNumberingAfterBreak="0">
    <w:nsid w:val="094E2968"/>
    <w:multiLevelType w:val="hybridMultilevel"/>
    <w:tmpl w:val="714E43B2"/>
    <w:lvl w:ilvl="0" w:tplc="7F9604DE">
      <w:start w:val="1"/>
      <w:numFmt w:val="bullet"/>
      <w:lvlText w:val=""/>
      <w:lvlJc w:val="left"/>
      <w:pPr>
        <w:ind w:left="360" w:hanging="360"/>
      </w:pPr>
      <w:rPr>
        <w:rFonts w:ascii="Symbol" w:hAnsi="Symbol" w:hint="default"/>
      </w:rPr>
    </w:lvl>
    <w:lvl w:ilvl="1" w:tplc="2152D304">
      <w:start w:val="1"/>
      <w:numFmt w:val="bullet"/>
      <w:lvlText w:val="o"/>
      <w:lvlJc w:val="left"/>
      <w:pPr>
        <w:ind w:left="1080" w:hanging="360"/>
      </w:pPr>
      <w:rPr>
        <w:rFonts w:ascii="Courier New" w:hAnsi="Courier New" w:hint="default"/>
      </w:rPr>
    </w:lvl>
    <w:lvl w:ilvl="2" w:tplc="E4760DF6">
      <w:start w:val="1"/>
      <w:numFmt w:val="bullet"/>
      <w:lvlText w:val=""/>
      <w:lvlJc w:val="left"/>
      <w:pPr>
        <w:ind w:left="1800" w:hanging="360"/>
      </w:pPr>
      <w:rPr>
        <w:rFonts w:ascii="Wingdings" w:hAnsi="Wingdings" w:hint="default"/>
      </w:rPr>
    </w:lvl>
    <w:lvl w:ilvl="3" w:tplc="116C98CC">
      <w:start w:val="1"/>
      <w:numFmt w:val="bullet"/>
      <w:lvlText w:val=""/>
      <w:lvlJc w:val="left"/>
      <w:pPr>
        <w:ind w:left="2520" w:hanging="360"/>
      </w:pPr>
      <w:rPr>
        <w:rFonts w:ascii="Symbol" w:hAnsi="Symbol" w:hint="default"/>
      </w:rPr>
    </w:lvl>
    <w:lvl w:ilvl="4" w:tplc="401A7A6C">
      <w:start w:val="1"/>
      <w:numFmt w:val="bullet"/>
      <w:lvlText w:val="o"/>
      <w:lvlJc w:val="left"/>
      <w:pPr>
        <w:ind w:left="3240" w:hanging="360"/>
      </w:pPr>
      <w:rPr>
        <w:rFonts w:ascii="Courier New" w:hAnsi="Courier New" w:hint="default"/>
      </w:rPr>
    </w:lvl>
    <w:lvl w:ilvl="5" w:tplc="DC0C3D5C">
      <w:start w:val="1"/>
      <w:numFmt w:val="bullet"/>
      <w:lvlText w:val=""/>
      <w:lvlJc w:val="left"/>
      <w:pPr>
        <w:ind w:left="3960" w:hanging="360"/>
      </w:pPr>
      <w:rPr>
        <w:rFonts w:ascii="Wingdings" w:hAnsi="Wingdings" w:hint="default"/>
      </w:rPr>
    </w:lvl>
    <w:lvl w:ilvl="6" w:tplc="6C7C713C">
      <w:start w:val="1"/>
      <w:numFmt w:val="bullet"/>
      <w:lvlText w:val=""/>
      <w:lvlJc w:val="left"/>
      <w:pPr>
        <w:ind w:left="4680" w:hanging="360"/>
      </w:pPr>
      <w:rPr>
        <w:rFonts w:ascii="Symbol" w:hAnsi="Symbol" w:hint="default"/>
      </w:rPr>
    </w:lvl>
    <w:lvl w:ilvl="7" w:tplc="7DBE4486">
      <w:start w:val="1"/>
      <w:numFmt w:val="bullet"/>
      <w:lvlText w:val="o"/>
      <w:lvlJc w:val="left"/>
      <w:pPr>
        <w:ind w:left="5400" w:hanging="360"/>
      </w:pPr>
      <w:rPr>
        <w:rFonts w:ascii="Courier New" w:hAnsi="Courier New" w:hint="default"/>
      </w:rPr>
    </w:lvl>
    <w:lvl w:ilvl="8" w:tplc="16C275EA">
      <w:start w:val="1"/>
      <w:numFmt w:val="bullet"/>
      <w:lvlText w:val=""/>
      <w:lvlJc w:val="left"/>
      <w:pPr>
        <w:ind w:left="6120" w:hanging="360"/>
      </w:pPr>
      <w:rPr>
        <w:rFonts w:ascii="Wingdings" w:hAnsi="Wingdings" w:hint="default"/>
      </w:rPr>
    </w:lvl>
  </w:abstractNum>
  <w:abstractNum w:abstractNumId="4" w15:restartNumberingAfterBreak="0">
    <w:nsid w:val="0FBF4FD0"/>
    <w:multiLevelType w:val="hybridMultilevel"/>
    <w:tmpl w:val="B71AD6F8"/>
    <w:lvl w:ilvl="0" w:tplc="C624C52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6CBC"/>
    <w:multiLevelType w:val="hybridMultilevel"/>
    <w:tmpl w:val="4CDC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3F39"/>
    <w:multiLevelType w:val="hybridMultilevel"/>
    <w:tmpl w:val="4EC6950C"/>
    <w:lvl w:ilvl="0" w:tplc="7914893A">
      <w:start w:val="1"/>
      <w:numFmt w:val="bullet"/>
      <w:lvlText w:val=""/>
      <w:lvlJc w:val="left"/>
      <w:pPr>
        <w:ind w:left="720" w:hanging="360"/>
      </w:pPr>
      <w:rPr>
        <w:rFonts w:ascii="Symbol" w:hAnsi="Symbol" w:hint="default"/>
      </w:rPr>
    </w:lvl>
    <w:lvl w:ilvl="1" w:tplc="060674F8">
      <w:start w:val="1"/>
      <w:numFmt w:val="bullet"/>
      <w:lvlText w:val="o"/>
      <w:lvlJc w:val="left"/>
      <w:pPr>
        <w:ind w:left="1440" w:hanging="360"/>
      </w:pPr>
      <w:rPr>
        <w:rFonts w:ascii="Courier New" w:hAnsi="Courier New" w:hint="default"/>
      </w:rPr>
    </w:lvl>
    <w:lvl w:ilvl="2" w:tplc="B2A29878">
      <w:start w:val="1"/>
      <w:numFmt w:val="bullet"/>
      <w:lvlText w:val=""/>
      <w:lvlJc w:val="left"/>
      <w:pPr>
        <w:ind w:left="2160" w:hanging="360"/>
      </w:pPr>
      <w:rPr>
        <w:rFonts w:ascii="Wingdings" w:hAnsi="Wingdings" w:hint="default"/>
      </w:rPr>
    </w:lvl>
    <w:lvl w:ilvl="3" w:tplc="C65C35BC">
      <w:start w:val="1"/>
      <w:numFmt w:val="bullet"/>
      <w:lvlText w:val=""/>
      <w:lvlJc w:val="left"/>
      <w:pPr>
        <w:ind w:left="2880" w:hanging="360"/>
      </w:pPr>
      <w:rPr>
        <w:rFonts w:ascii="Symbol" w:hAnsi="Symbol" w:hint="default"/>
      </w:rPr>
    </w:lvl>
    <w:lvl w:ilvl="4" w:tplc="0012EAD0">
      <w:start w:val="1"/>
      <w:numFmt w:val="bullet"/>
      <w:lvlText w:val="o"/>
      <w:lvlJc w:val="left"/>
      <w:pPr>
        <w:ind w:left="3600" w:hanging="360"/>
      </w:pPr>
      <w:rPr>
        <w:rFonts w:ascii="Courier New" w:hAnsi="Courier New" w:hint="default"/>
      </w:rPr>
    </w:lvl>
    <w:lvl w:ilvl="5" w:tplc="EE525900">
      <w:start w:val="1"/>
      <w:numFmt w:val="bullet"/>
      <w:lvlText w:val=""/>
      <w:lvlJc w:val="left"/>
      <w:pPr>
        <w:ind w:left="4320" w:hanging="360"/>
      </w:pPr>
      <w:rPr>
        <w:rFonts w:ascii="Wingdings" w:hAnsi="Wingdings" w:hint="default"/>
      </w:rPr>
    </w:lvl>
    <w:lvl w:ilvl="6" w:tplc="E8D82B6A">
      <w:start w:val="1"/>
      <w:numFmt w:val="bullet"/>
      <w:lvlText w:val=""/>
      <w:lvlJc w:val="left"/>
      <w:pPr>
        <w:ind w:left="5040" w:hanging="360"/>
      </w:pPr>
      <w:rPr>
        <w:rFonts w:ascii="Symbol" w:hAnsi="Symbol" w:hint="default"/>
      </w:rPr>
    </w:lvl>
    <w:lvl w:ilvl="7" w:tplc="E7460B94">
      <w:start w:val="1"/>
      <w:numFmt w:val="bullet"/>
      <w:lvlText w:val="o"/>
      <w:lvlJc w:val="left"/>
      <w:pPr>
        <w:ind w:left="5760" w:hanging="360"/>
      </w:pPr>
      <w:rPr>
        <w:rFonts w:ascii="Courier New" w:hAnsi="Courier New" w:hint="default"/>
      </w:rPr>
    </w:lvl>
    <w:lvl w:ilvl="8" w:tplc="7EAAA94A">
      <w:start w:val="1"/>
      <w:numFmt w:val="bullet"/>
      <w:lvlText w:val=""/>
      <w:lvlJc w:val="left"/>
      <w:pPr>
        <w:ind w:left="6480" w:hanging="360"/>
      </w:pPr>
      <w:rPr>
        <w:rFonts w:ascii="Wingdings" w:hAnsi="Wingdings" w:hint="default"/>
      </w:rPr>
    </w:lvl>
  </w:abstractNum>
  <w:abstractNum w:abstractNumId="7" w15:restartNumberingAfterBreak="0">
    <w:nsid w:val="2DC51B50"/>
    <w:multiLevelType w:val="hybridMultilevel"/>
    <w:tmpl w:val="266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6596C"/>
    <w:multiLevelType w:val="hybridMultilevel"/>
    <w:tmpl w:val="8636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822"/>
    <w:multiLevelType w:val="hybridMultilevel"/>
    <w:tmpl w:val="7C0C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030A8"/>
    <w:multiLevelType w:val="hybridMultilevel"/>
    <w:tmpl w:val="D7603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A1178"/>
    <w:multiLevelType w:val="hybridMultilevel"/>
    <w:tmpl w:val="991E989C"/>
    <w:lvl w:ilvl="0" w:tplc="FE92DF60">
      <w:start w:val="1"/>
      <w:numFmt w:val="bullet"/>
      <w:lvlText w:val=""/>
      <w:lvlJc w:val="left"/>
      <w:pPr>
        <w:ind w:left="720" w:hanging="360"/>
      </w:pPr>
      <w:rPr>
        <w:rFonts w:ascii="Symbol" w:hAnsi="Symbol" w:hint="default"/>
      </w:rPr>
    </w:lvl>
    <w:lvl w:ilvl="1" w:tplc="FF38D03A">
      <w:start w:val="1"/>
      <w:numFmt w:val="bullet"/>
      <w:lvlText w:val="o"/>
      <w:lvlJc w:val="left"/>
      <w:pPr>
        <w:ind w:left="1440" w:hanging="360"/>
      </w:pPr>
      <w:rPr>
        <w:rFonts w:ascii="Courier New" w:hAnsi="Courier New" w:hint="default"/>
      </w:rPr>
    </w:lvl>
    <w:lvl w:ilvl="2" w:tplc="C352C24C">
      <w:start w:val="1"/>
      <w:numFmt w:val="bullet"/>
      <w:lvlText w:val=""/>
      <w:lvlJc w:val="left"/>
      <w:pPr>
        <w:ind w:left="2160" w:hanging="360"/>
      </w:pPr>
      <w:rPr>
        <w:rFonts w:ascii="Wingdings" w:hAnsi="Wingdings" w:hint="default"/>
      </w:rPr>
    </w:lvl>
    <w:lvl w:ilvl="3" w:tplc="5A501842">
      <w:start w:val="1"/>
      <w:numFmt w:val="bullet"/>
      <w:lvlText w:val=""/>
      <w:lvlJc w:val="left"/>
      <w:pPr>
        <w:ind w:left="2880" w:hanging="360"/>
      </w:pPr>
      <w:rPr>
        <w:rFonts w:ascii="Symbol" w:hAnsi="Symbol" w:hint="default"/>
      </w:rPr>
    </w:lvl>
    <w:lvl w:ilvl="4" w:tplc="F04893E8">
      <w:start w:val="1"/>
      <w:numFmt w:val="bullet"/>
      <w:lvlText w:val="o"/>
      <w:lvlJc w:val="left"/>
      <w:pPr>
        <w:ind w:left="3600" w:hanging="360"/>
      </w:pPr>
      <w:rPr>
        <w:rFonts w:ascii="Courier New" w:hAnsi="Courier New" w:hint="default"/>
      </w:rPr>
    </w:lvl>
    <w:lvl w:ilvl="5" w:tplc="BB6252C8">
      <w:start w:val="1"/>
      <w:numFmt w:val="bullet"/>
      <w:lvlText w:val=""/>
      <w:lvlJc w:val="left"/>
      <w:pPr>
        <w:ind w:left="4320" w:hanging="360"/>
      </w:pPr>
      <w:rPr>
        <w:rFonts w:ascii="Wingdings" w:hAnsi="Wingdings" w:hint="default"/>
      </w:rPr>
    </w:lvl>
    <w:lvl w:ilvl="6" w:tplc="5D4CA4F8">
      <w:start w:val="1"/>
      <w:numFmt w:val="bullet"/>
      <w:lvlText w:val=""/>
      <w:lvlJc w:val="left"/>
      <w:pPr>
        <w:ind w:left="5040" w:hanging="360"/>
      </w:pPr>
      <w:rPr>
        <w:rFonts w:ascii="Symbol" w:hAnsi="Symbol" w:hint="default"/>
      </w:rPr>
    </w:lvl>
    <w:lvl w:ilvl="7" w:tplc="43DE20B6">
      <w:start w:val="1"/>
      <w:numFmt w:val="bullet"/>
      <w:lvlText w:val="o"/>
      <w:lvlJc w:val="left"/>
      <w:pPr>
        <w:ind w:left="5760" w:hanging="360"/>
      </w:pPr>
      <w:rPr>
        <w:rFonts w:ascii="Courier New" w:hAnsi="Courier New" w:hint="default"/>
      </w:rPr>
    </w:lvl>
    <w:lvl w:ilvl="8" w:tplc="4D08AF1C">
      <w:start w:val="1"/>
      <w:numFmt w:val="bullet"/>
      <w:lvlText w:val=""/>
      <w:lvlJc w:val="left"/>
      <w:pPr>
        <w:ind w:left="6480" w:hanging="360"/>
      </w:pPr>
      <w:rPr>
        <w:rFonts w:ascii="Wingdings" w:hAnsi="Wingdings" w:hint="default"/>
      </w:rPr>
    </w:lvl>
  </w:abstractNum>
  <w:abstractNum w:abstractNumId="12" w15:restartNumberingAfterBreak="0">
    <w:nsid w:val="7389194C"/>
    <w:multiLevelType w:val="hybridMultilevel"/>
    <w:tmpl w:val="569C0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856C5"/>
    <w:multiLevelType w:val="hybridMultilevel"/>
    <w:tmpl w:val="FFCA7EF6"/>
    <w:lvl w:ilvl="0" w:tplc="0E484E94">
      <w:start w:val="1"/>
      <w:numFmt w:val="bullet"/>
      <w:lvlText w:val=""/>
      <w:lvlJc w:val="left"/>
      <w:pPr>
        <w:ind w:left="360" w:hanging="360"/>
      </w:pPr>
      <w:rPr>
        <w:rFonts w:ascii="Symbol" w:hAnsi="Symbol" w:hint="default"/>
      </w:rPr>
    </w:lvl>
    <w:lvl w:ilvl="1" w:tplc="0F9AC566">
      <w:start w:val="1"/>
      <w:numFmt w:val="bullet"/>
      <w:lvlText w:val="o"/>
      <w:lvlJc w:val="left"/>
      <w:pPr>
        <w:ind w:left="1080" w:hanging="360"/>
      </w:pPr>
      <w:rPr>
        <w:rFonts w:ascii="Courier New" w:hAnsi="Courier New" w:hint="default"/>
      </w:rPr>
    </w:lvl>
    <w:lvl w:ilvl="2" w:tplc="8B14E4F8">
      <w:start w:val="1"/>
      <w:numFmt w:val="bullet"/>
      <w:lvlText w:val=""/>
      <w:lvlJc w:val="left"/>
      <w:pPr>
        <w:ind w:left="1800" w:hanging="360"/>
      </w:pPr>
      <w:rPr>
        <w:rFonts w:ascii="Wingdings" w:hAnsi="Wingdings" w:hint="default"/>
      </w:rPr>
    </w:lvl>
    <w:lvl w:ilvl="3" w:tplc="B750F102">
      <w:start w:val="1"/>
      <w:numFmt w:val="bullet"/>
      <w:lvlText w:val=""/>
      <w:lvlJc w:val="left"/>
      <w:pPr>
        <w:ind w:left="2520" w:hanging="360"/>
      </w:pPr>
      <w:rPr>
        <w:rFonts w:ascii="Symbol" w:hAnsi="Symbol" w:hint="default"/>
      </w:rPr>
    </w:lvl>
    <w:lvl w:ilvl="4" w:tplc="815E5E66">
      <w:start w:val="1"/>
      <w:numFmt w:val="bullet"/>
      <w:lvlText w:val="o"/>
      <w:lvlJc w:val="left"/>
      <w:pPr>
        <w:ind w:left="3240" w:hanging="360"/>
      </w:pPr>
      <w:rPr>
        <w:rFonts w:ascii="Courier New" w:hAnsi="Courier New" w:hint="default"/>
      </w:rPr>
    </w:lvl>
    <w:lvl w:ilvl="5" w:tplc="C4044E28">
      <w:start w:val="1"/>
      <w:numFmt w:val="bullet"/>
      <w:lvlText w:val=""/>
      <w:lvlJc w:val="left"/>
      <w:pPr>
        <w:ind w:left="3960" w:hanging="360"/>
      </w:pPr>
      <w:rPr>
        <w:rFonts w:ascii="Wingdings" w:hAnsi="Wingdings" w:hint="default"/>
      </w:rPr>
    </w:lvl>
    <w:lvl w:ilvl="6" w:tplc="CDFE2482">
      <w:start w:val="1"/>
      <w:numFmt w:val="bullet"/>
      <w:lvlText w:val=""/>
      <w:lvlJc w:val="left"/>
      <w:pPr>
        <w:ind w:left="4680" w:hanging="360"/>
      </w:pPr>
      <w:rPr>
        <w:rFonts w:ascii="Symbol" w:hAnsi="Symbol" w:hint="default"/>
      </w:rPr>
    </w:lvl>
    <w:lvl w:ilvl="7" w:tplc="D338CAD6">
      <w:start w:val="1"/>
      <w:numFmt w:val="bullet"/>
      <w:lvlText w:val="o"/>
      <w:lvlJc w:val="left"/>
      <w:pPr>
        <w:ind w:left="5400" w:hanging="360"/>
      </w:pPr>
      <w:rPr>
        <w:rFonts w:ascii="Courier New" w:hAnsi="Courier New" w:hint="default"/>
      </w:rPr>
    </w:lvl>
    <w:lvl w:ilvl="8" w:tplc="E95277D6">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7"/>
  </w:num>
  <w:num w:numId="6">
    <w:abstractNumId w:val="8"/>
  </w:num>
  <w:num w:numId="7">
    <w:abstractNumId w:val="12"/>
  </w:num>
  <w:num w:numId="8">
    <w:abstractNumId w:val="13"/>
  </w:num>
  <w:num w:numId="9">
    <w:abstractNumId w:val="2"/>
  </w:num>
  <w:num w:numId="10">
    <w:abstractNumId w:val="3"/>
  </w:num>
  <w:num w:numId="11">
    <w:abstractNumId w:val="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D7"/>
    <w:rsid w:val="00051EDD"/>
    <w:rsid w:val="0007404B"/>
    <w:rsid w:val="00083F1A"/>
    <w:rsid w:val="000A3E60"/>
    <w:rsid w:val="00181CF9"/>
    <w:rsid w:val="00214EA7"/>
    <w:rsid w:val="00234563"/>
    <w:rsid w:val="00237F38"/>
    <w:rsid w:val="002605D7"/>
    <w:rsid w:val="00261BB7"/>
    <w:rsid w:val="002B09DA"/>
    <w:rsid w:val="003846D4"/>
    <w:rsid w:val="00410964"/>
    <w:rsid w:val="0041264E"/>
    <w:rsid w:val="00424E12"/>
    <w:rsid w:val="0044092F"/>
    <w:rsid w:val="00482408"/>
    <w:rsid w:val="004F3858"/>
    <w:rsid w:val="00566032"/>
    <w:rsid w:val="005D62D7"/>
    <w:rsid w:val="00610A6A"/>
    <w:rsid w:val="006D189E"/>
    <w:rsid w:val="00732F60"/>
    <w:rsid w:val="007E5D8F"/>
    <w:rsid w:val="0084005D"/>
    <w:rsid w:val="00850020"/>
    <w:rsid w:val="00852ECA"/>
    <w:rsid w:val="008838AF"/>
    <w:rsid w:val="00920DEC"/>
    <w:rsid w:val="00966BE0"/>
    <w:rsid w:val="0099109F"/>
    <w:rsid w:val="009D4031"/>
    <w:rsid w:val="009E493E"/>
    <w:rsid w:val="00AD5DEA"/>
    <w:rsid w:val="00AE068E"/>
    <w:rsid w:val="00B3500E"/>
    <w:rsid w:val="00B665F3"/>
    <w:rsid w:val="00B72A59"/>
    <w:rsid w:val="00BC691C"/>
    <w:rsid w:val="00BD4289"/>
    <w:rsid w:val="00BF7A19"/>
    <w:rsid w:val="00C60E66"/>
    <w:rsid w:val="00CF138C"/>
    <w:rsid w:val="00D865B2"/>
    <w:rsid w:val="00DA4EE5"/>
    <w:rsid w:val="00E76E21"/>
    <w:rsid w:val="00F07467"/>
    <w:rsid w:val="00F14F74"/>
    <w:rsid w:val="01335D49"/>
    <w:rsid w:val="12CE2CE8"/>
    <w:rsid w:val="167B75CD"/>
    <w:rsid w:val="3BEF3B5C"/>
    <w:rsid w:val="5942270A"/>
    <w:rsid w:val="66D7261D"/>
    <w:rsid w:val="6CA6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2F4E"/>
  <w15:chartTrackingRefBased/>
  <w15:docId w15:val="{ECD016E2-924E-4C21-A419-2F577C3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4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49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9E"/>
    <w:pPr>
      <w:ind w:left="720"/>
      <w:contextualSpacing/>
    </w:pPr>
  </w:style>
  <w:style w:type="table" w:styleId="TableGrid">
    <w:name w:val="Table Grid"/>
    <w:basedOn w:val="TableNormal"/>
    <w:uiPriority w:val="39"/>
    <w:rsid w:val="006D18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63"/>
    <w:rPr>
      <w:rFonts w:ascii="Segoe UI" w:hAnsi="Segoe UI" w:cs="Segoe UI"/>
      <w:sz w:val="18"/>
      <w:szCs w:val="18"/>
    </w:rPr>
  </w:style>
  <w:style w:type="character" w:customStyle="1" w:styleId="Heading2Char">
    <w:name w:val="Heading 2 Char"/>
    <w:basedOn w:val="DefaultParagraphFont"/>
    <w:link w:val="Heading2"/>
    <w:uiPriority w:val="9"/>
    <w:rsid w:val="009E49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493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E493E"/>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8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9986-0C1A-BD43-93FB-48616DBF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Michael -FS</dc:creator>
  <cp:keywords/>
  <dc:description/>
  <cp:lastModifiedBy>Susan Hansen</cp:lastModifiedBy>
  <cp:revision>2</cp:revision>
  <dcterms:created xsi:type="dcterms:W3CDTF">2021-02-14T21:58:00Z</dcterms:created>
  <dcterms:modified xsi:type="dcterms:W3CDTF">2021-02-14T21:58:00Z</dcterms:modified>
</cp:coreProperties>
</file>