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DDD4" w14:textId="407DB6BD" w:rsidR="00F607A0" w:rsidRPr="005E76B0" w:rsidRDefault="00E85EA3" w:rsidP="00E85EA3">
      <w:pPr>
        <w:pStyle w:val="NoSpacing"/>
        <w:jc w:val="center"/>
        <w:rPr>
          <w:b/>
          <w:bCs/>
        </w:rPr>
      </w:pPr>
      <w:r w:rsidRPr="005E76B0">
        <w:rPr>
          <w:b/>
          <w:bCs/>
        </w:rPr>
        <w:t>SBEADMR Adaptive Management Meeting Notes</w:t>
      </w:r>
    </w:p>
    <w:p w14:paraId="31D8543E" w14:textId="776D4FFE" w:rsidR="00E85EA3" w:rsidRDefault="00E85EA3" w:rsidP="00E85EA3">
      <w:pPr>
        <w:pStyle w:val="NoSpacing"/>
        <w:jc w:val="center"/>
      </w:pPr>
      <w:r>
        <w:t>October 1, 2020</w:t>
      </w:r>
    </w:p>
    <w:p w14:paraId="37A2B7A3" w14:textId="786BC57F" w:rsidR="00E85EA3" w:rsidRDefault="00E85EA3" w:rsidP="00E85EA3">
      <w:pPr>
        <w:pStyle w:val="NoSpacing"/>
        <w:jc w:val="center"/>
      </w:pPr>
    </w:p>
    <w:p w14:paraId="59849ECF" w14:textId="43DC9EAC" w:rsidR="00E85EA3" w:rsidRDefault="00E85EA3" w:rsidP="00E85EA3">
      <w:pPr>
        <w:pStyle w:val="NoSpacing"/>
      </w:pPr>
      <w:r>
        <w:t>The SBEADMR Adaptive Management Group (AMG) convened as a socially distanced meeting</w:t>
      </w:r>
      <w:r w:rsidR="005E76B0">
        <w:t xml:space="preserve"> at the Montrose County Event Center</w:t>
      </w:r>
      <w:r>
        <w:t>, with conference call attendance, at 9 AM on Thursday October 1, 2020.  Present and representing the various “seats” on the AMG were:</w:t>
      </w:r>
    </w:p>
    <w:p w14:paraId="67953037" w14:textId="77777777" w:rsidR="005E76B0" w:rsidRPr="00704526" w:rsidRDefault="005E76B0" w:rsidP="005E76B0">
      <w:pPr>
        <w:rPr>
          <w:sz w:val="20"/>
          <w:szCs w:val="20"/>
        </w:rPr>
      </w:pPr>
    </w:p>
    <w:p w14:paraId="61678B6A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b/>
          <w:sz w:val="20"/>
          <w:szCs w:val="20"/>
          <w:u w:val="single"/>
        </w:rPr>
        <w:t>Designated Seat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b/>
          <w:sz w:val="20"/>
          <w:szCs w:val="20"/>
        </w:rPr>
        <w:t xml:space="preserve">        </w:t>
      </w:r>
      <w:r w:rsidRPr="00704526">
        <w:rPr>
          <w:b/>
          <w:sz w:val="20"/>
          <w:szCs w:val="20"/>
          <w:u w:val="single"/>
        </w:rPr>
        <w:t>Regular Member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 xml:space="preserve">                 </w:t>
      </w:r>
      <w:r w:rsidRPr="00704526">
        <w:rPr>
          <w:b/>
          <w:sz w:val="20"/>
          <w:szCs w:val="20"/>
          <w:u w:val="single"/>
        </w:rPr>
        <w:t>Alternate Member</w:t>
      </w:r>
    </w:p>
    <w:p w14:paraId="5C5C4EC0" w14:textId="77777777" w:rsidR="005E76B0" w:rsidRPr="00704526" w:rsidRDefault="005E76B0" w:rsidP="005E76B0">
      <w:pPr>
        <w:rPr>
          <w:sz w:val="20"/>
          <w:szCs w:val="20"/>
        </w:rPr>
      </w:pPr>
    </w:p>
    <w:p w14:paraId="5C461582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Delta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</w:p>
    <w:p w14:paraId="07B3FC70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Gunnison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absent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4526">
        <w:rPr>
          <w:sz w:val="20"/>
          <w:szCs w:val="20"/>
        </w:rPr>
        <w:t>TBD</w:t>
      </w:r>
    </w:p>
    <w:p w14:paraId="1EE810DB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Hinsdale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TBD</w:t>
      </w:r>
    </w:p>
    <w:p w14:paraId="47DB75ED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Montrose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Justin Musser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</w:p>
    <w:p w14:paraId="4947F32B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Ouray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Ben Tisdel</w:t>
      </w:r>
      <w:r>
        <w:rPr>
          <w:sz w:val="20"/>
          <w:szCs w:val="20"/>
        </w:rPr>
        <w:t xml:space="preserve"> (phone)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</w:p>
    <w:p w14:paraId="68488BF0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San Miguel County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Hilary Cooper (phone)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</w:p>
    <w:p w14:paraId="422D75CA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 xml:space="preserve">Environmental/Conservation </w:t>
      </w:r>
      <w:r w:rsidRPr="00704526">
        <w:rPr>
          <w:sz w:val="20"/>
          <w:szCs w:val="20"/>
        </w:rPr>
        <w:tab/>
        <w:t>Chris Jauhola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Enno Heushner</w:t>
      </w:r>
      <w:r>
        <w:rPr>
          <w:sz w:val="20"/>
          <w:szCs w:val="20"/>
        </w:rPr>
        <w:t xml:space="preserve"> (phone)</w:t>
      </w:r>
    </w:p>
    <w:p w14:paraId="650CAD08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Environmental/Conservation</w:t>
      </w:r>
      <w:r w:rsidRPr="00704526">
        <w:rPr>
          <w:sz w:val="20"/>
          <w:szCs w:val="20"/>
        </w:rPr>
        <w:tab/>
        <w:t>Lexi Tuddenham</w:t>
      </w:r>
      <w:r>
        <w:rPr>
          <w:sz w:val="20"/>
          <w:szCs w:val="20"/>
        </w:rPr>
        <w:t xml:space="preserve"> (phone)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Robin Nic</w:t>
      </w:r>
      <w:r>
        <w:rPr>
          <w:sz w:val="20"/>
          <w:szCs w:val="20"/>
        </w:rPr>
        <w:t>h</w:t>
      </w:r>
      <w:r w:rsidRPr="00704526">
        <w:rPr>
          <w:sz w:val="20"/>
          <w:szCs w:val="20"/>
        </w:rPr>
        <w:t>oloff</w:t>
      </w:r>
      <w:r>
        <w:rPr>
          <w:sz w:val="20"/>
          <w:szCs w:val="20"/>
        </w:rPr>
        <w:t xml:space="preserve"> (phone)</w:t>
      </w:r>
    </w:p>
    <w:p w14:paraId="32570644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Forestry Processor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Tim Kyllo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Mike Orndorff</w:t>
      </w:r>
    </w:p>
    <w:p w14:paraId="4F9829EE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Forestry Logger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absent</w:t>
      </w:r>
      <w:r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</w:p>
    <w:p w14:paraId="1B8D7764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Community at Large</w:t>
      </w:r>
    </w:p>
    <w:p w14:paraId="1D29E855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 xml:space="preserve">   East Zone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</w:p>
    <w:p w14:paraId="6BC2D6C6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 xml:space="preserve">   North Zone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Mary Chapman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</w:p>
    <w:p w14:paraId="2CB6583A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 xml:space="preserve">   West Zone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Nancy Fishering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Andy Goldman</w:t>
      </w:r>
    </w:p>
    <w:p w14:paraId="6A636AEE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Water Resources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absent</w:t>
      </w:r>
    </w:p>
    <w:p w14:paraId="030A1FB4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Recreational User Groups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absent</w:t>
      </w:r>
      <w:r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</w:p>
    <w:p w14:paraId="366EFDCE" w14:textId="77777777" w:rsidR="005E76B0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Wildlife and Fish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Craig Grother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>
        <w:rPr>
          <w:sz w:val="20"/>
          <w:szCs w:val="20"/>
        </w:rPr>
        <w:t>absent</w:t>
      </w:r>
    </w:p>
    <w:p w14:paraId="5B0B9144" w14:textId="77777777" w:rsidR="005E76B0" w:rsidRPr="00704526" w:rsidRDefault="005E76B0" w:rsidP="005E76B0">
      <w:pPr>
        <w:rPr>
          <w:sz w:val="20"/>
          <w:szCs w:val="20"/>
        </w:rPr>
      </w:pPr>
      <w:r w:rsidRPr="00704526">
        <w:rPr>
          <w:sz w:val="20"/>
          <w:szCs w:val="20"/>
        </w:rPr>
        <w:t>Education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</w:r>
      <w:r w:rsidRPr="00704526">
        <w:rPr>
          <w:sz w:val="20"/>
          <w:szCs w:val="20"/>
        </w:rPr>
        <w:tab/>
        <w:t>TBD</w:t>
      </w:r>
    </w:p>
    <w:p w14:paraId="65D0CED8" w14:textId="77777777" w:rsidR="005E76B0" w:rsidRPr="00704526" w:rsidRDefault="005E76B0" w:rsidP="005E76B0">
      <w:pPr>
        <w:pStyle w:val="ListParagraph"/>
        <w:rPr>
          <w:sz w:val="20"/>
          <w:szCs w:val="20"/>
        </w:rPr>
      </w:pPr>
    </w:p>
    <w:p w14:paraId="169C18F3" w14:textId="30ADECC4" w:rsidR="005E76B0" w:rsidRPr="00704526" w:rsidRDefault="005E76B0" w:rsidP="005E76B0">
      <w:pPr>
        <w:rPr>
          <w:sz w:val="20"/>
          <w:szCs w:val="20"/>
        </w:rPr>
      </w:pPr>
      <w:r w:rsidRPr="00704526">
        <w:rPr>
          <w:b/>
          <w:sz w:val="20"/>
          <w:szCs w:val="20"/>
        </w:rPr>
        <w:t>Resource/Staff Present</w:t>
      </w:r>
      <w:r w:rsidRPr="00704526">
        <w:rPr>
          <w:sz w:val="20"/>
          <w:szCs w:val="20"/>
        </w:rPr>
        <w:t>:  Clay Speas</w:t>
      </w:r>
      <w:r>
        <w:rPr>
          <w:sz w:val="20"/>
          <w:szCs w:val="20"/>
        </w:rPr>
        <w:t xml:space="preserve">, </w:t>
      </w:r>
      <w:r w:rsidRPr="00704526">
        <w:rPr>
          <w:sz w:val="20"/>
          <w:szCs w:val="20"/>
        </w:rPr>
        <w:t>Carlyn Perovich</w:t>
      </w:r>
      <w:r>
        <w:rPr>
          <w:sz w:val="20"/>
          <w:szCs w:val="20"/>
        </w:rPr>
        <w:t xml:space="preserve"> and Stewart </w:t>
      </w:r>
      <w:r w:rsidR="00FB218C">
        <w:rPr>
          <w:sz w:val="20"/>
          <w:szCs w:val="20"/>
        </w:rPr>
        <w:t>Robertson -Fuels Planner</w:t>
      </w:r>
      <w:r w:rsidRPr="00704526">
        <w:rPr>
          <w:sz w:val="20"/>
          <w:szCs w:val="20"/>
        </w:rPr>
        <w:t>, GMUG Nat’l Forest; Jason Sibold</w:t>
      </w:r>
      <w:r>
        <w:rPr>
          <w:sz w:val="20"/>
          <w:szCs w:val="20"/>
        </w:rPr>
        <w:t xml:space="preserve"> (phone)</w:t>
      </w:r>
      <w:r w:rsidRPr="00704526">
        <w:rPr>
          <w:sz w:val="20"/>
          <w:szCs w:val="20"/>
        </w:rPr>
        <w:t>, Mike Battaglio</w:t>
      </w:r>
      <w:r>
        <w:rPr>
          <w:sz w:val="20"/>
          <w:szCs w:val="20"/>
        </w:rPr>
        <w:t xml:space="preserve"> (phone) and Tony Cheng (phone), </w:t>
      </w:r>
      <w:r w:rsidRPr="00704526">
        <w:rPr>
          <w:sz w:val="20"/>
          <w:szCs w:val="20"/>
        </w:rPr>
        <w:t>SBEADMR Science Team; Scott Johnson, Colorado State Forest Service</w:t>
      </w:r>
      <w:r>
        <w:rPr>
          <w:sz w:val="20"/>
          <w:szCs w:val="20"/>
        </w:rPr>
        <w:t>.</w:t>
      </w:r>
      <w:r w:rsidRPr="00704526">
        <w:rPr>
          <w:sz w:val="20"/>
          <w:szCs w:val="20"/>
        </w:rPr>
        <w:t xml:space="preserve"> </w:t>
      </w:r>
      <w:r w:rsidRPr="00704526">
        <w:rPr>
          <w:sz w:val="20"/>
          <w:szCs w:val="20"/>
        </w:rPr>
        <w:br/>
      </w:r>
    </w:p>
    <w:p w14:paraId="7D75EC01" w14:textId="0CB99144" w:rsidR="005E76B0" w:rsidRPr="00704526" w:rsidRDefault="005E76B0" w:rsidP="005E76B0">
      <w:pPr>
        <w:rPr>
          <w:sz w:val="20"/>
          <w:szCs w:val="20"/>
        </w:rPr>
      </w:pPr>
      <w:r w:rsidRPr="00704526">
        <w:rPr>
          <w:b/>
          <w:sz w:val="20"/>
          <w:szCs w:val="20"/>
        </w:rPr>
        <w:t xml:space="preserve">Approval of </w:t>
      </w:r>
      <w:r>
        <w:rPr>
          <w:b/>
          <w:sz w:val="20"/>
          <w:szCs w:val="20"/>
        </w:rPr>
        <w:t>May 13, 2020</w:t>
      </w:r>
      <w:r w:rsidRPr="00704526">
        <w:rPr>
          <w:b/>
          <w:sz w:val="20"/>
          <w:szCs w:val="20"/>
        </w:rPr>
        <w:t xml:space="preserve"> AMG Meeting Notes</w:t>
      </w:r>
      <w:r w:rsidRPr="00704526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M/S/P </w:t>
      </w:r>
      <w:r w:rsidR="00FB218C">
        <w:rPr>
          <w:sz w:val="20"/>
          <w:szCs w:val="20"/>
        </w:rPr>
        <w:t>Tim Kyllo</w:t>
      </w:r>
      <w:r w:rsidR="007F38F0">
        <w:rPr>
          <w:sz w:val="20"/>
          <w:szCs w:val="20"/>
        </w:rPr>
        <w:t xml:space="preserve"> moved and Chris Jauhola seconded the</w:t>
      </w:r>
      <w:r>
        <w:rPr>
          <w:sz w:val="20"/>
          <w:szCs w:val="20"/>
        </w:rPr>
        <w:t xml:space="preserve"> mo</w:t>
      </w:r>
      <w:r w:rsidR="007F38F0">
        <w:rPr>
          <w:sz w:val="20"/>
          <w:szCs w:val="20"/>
        </w:rPr>
        <w:t>tion</w:t>
      </w:r>
      <w:r>
        <w:rPr>
          <w:sz w:val="20"/>
          <w:szCs w:val="20"/>
        </w:rPr>
        <w:t xml:space="preserve"> to approve the meeting notes of the 5/13/2020 AMG virtual meeting as submitted. </w:t>
      </w:r>
    </w:p>
    <w:p w14:paraId="2FEBD860" w14:textId="77777777" w:rsidR="005E76B0" w:rsidRPr="00704526" w:rsidRDefault="005E76B0" w:rsidP="005E76B0">
      <w:pPr>
        <w:rPr>
          <w:sz w:val="20"/>
          <w:szCs w:val="20"/>
        </w:rPr>
      </w:pPr>
    </w:p>
    <w:p w14:paraId="20E99492" w14:textId="380A7CEA" w:rsidR="00EE77B7" w:rsidRDefault="00EE77B7" w:rsidP="00E85EA3">
      <w:pPr>
        <w:pStyle w:val="NoSpacing"/>
      </w:pPr>
      <w:r>
        <w:t xml:space="preserve">Ben </w:t>
      </w:r>
      <w:r w:rsidR="007D6FBA">
        <w:t>Katz</w:t>
      </w:r>
      <w:r>
        <w:t xml:space="preserve"> new to conservation groups </w:t>
      </w:r>
      <w:r w:rsidR="00F71962">
        <w:t xml:space="preserve">but an invited guest </w:t>
      </w:r>
      <w:r>
        <w:t xml:space="preserve">did not attend.  Robin suggested that he be added to the AMG. </w:t>
      </w:r>
      <w:r w:rsidR="00784808">
        <w:t>Nancy</w:t>
      </w:r>
      <w:r>
        <w:t xml:space="preserve"> advised that the upcoming Operating Manual has a process to maintain balance among stakeholders and that would need to be followed to ADD a person to the AMG, but guests were always welcome </w:t>
      </w:r>
      <w:r w:rsidR="00784808">
        <w:t>to</w:t>
      </w:r>
      <w:r>
        <w:t xml:space="preserve"> all field trips and to all meetings.</w:t>
      </w:r>
    </w:p>
    <w:p w14:paraId="4FE11FA6" w14:textId="77777777" w:rsidR="00EE77B7" w:rsidRDefault="00EE77B7" w:rsidP="00E85EA3">
      <w:pPr>
        <w:pStyle w:val="NoSpacing"/>
      </w:pPr>
    </w:p>
    <w:p w14:paraId="1A4ACF64" w14:textId="77777777" w:rsidR="002136E6" w:rsidRDefault="00DD23C2" w:rsidP="00E85EA3">
      <w:pPr>
        <w:pStyle w:val="NoSpacing"/>
        <w:rPr>
          <w:b/>
          <w:bCs/>
        </w:rPr>
      </w:pPr>
      <w:r w:rsidRPr="00DD23C2">
        <w:rPr>
          <w:b/>
          <w:bCs/>
        </w:rPr>
        <w:t xml:space="preserve">Item No 1:  </w:t>
      </w:r>
      <w:r w:rsidRPr="00DD23C2">
        <w:rPr>
          <w:b/>
          <w:bCs/>
        </w:rPr>
        <w:tab/>
        <w:t>Brief Recap of SBEADMR Summer Activities</w:t>
      </w:r>
      <w:r w:rsidR="005E76B0">
        <w:rPr>
          <w:b/>
          <w:bCs/>
        </w:rPr>
        <w:t xml:space="preserve"> –</w:t>
      </w:r>
    </w:p>
    <w:p w14:paraId="3A8D60F0" w14:textId="60B0BDBA" w:rsidR="00DD23C2" w:rsidRPr="002136E6" w:rsidRDefault="002136E6" w:rsidP="00E85EA3">
      <w:pPr>
        <w:pStyle w:val="NoSpacing"/>
      </w:pPr>
      <w:r>
        <w:t xml:space="preserve">Clay and Carlyn gave a summary of the </w:t>
      </w:r>
      <w:r w:rsidR="00F1715F">
        <w:t xml:space="preserve">pre-treatments prepping for the </w:t>
      </w:r>
      <w:r>
        <w:t xml:space="preserve">Bald </w:t>
      </w:r>
      <w:r w:rsidR="00997804">
        <w:t>Timber Sale area</w:t>
      </w:r>
      <w:r w:rsidR="00E658F5">
        <w:t xml:space="preserve">.  </w:t>
      </w:r>
      <w:r w:rsidR="00F72870">
        <w:t>Jason discussed</w:t>
      </w:r>
      <w:r w:rsidR="00E658F5">
        <w:t xml:space="preserve"> </w:t>
      </w:r>
      <w:r w:rsidR="003E1F6E">
        <w:t xml:space="preserve">SBEADMR treatment and monitoring.  He cited </w:t>
      </w:r>
      <w:r w:rsidR="0052297D">
        <w:t xml:space="preserve">review of 59 plots and temperature sensors started in 2019.  The </w:t>
      </w:r>
      <w:r w:rsidR="00B67C59">
        <w:t>2019 snow and late snow anomaly and COVID regulations for field crews</w:t>
      </w:r>
      <w:r w:rsidR="001E4C54">
        <w:t xml:space="preserve"> presented challenges.  One student devoted time to lab work and modeling on </w:t>
      </w:r>
      <w:r w:rsidR="00EA3FC7">
        <w:t>climate scenarios focusing on after-treatments and the likelihood of regen for s</w:t>
      </w:r>
      <w:r w:rsidR="00006022">
        <w:t xml:space="preserve">pruce and a more dynamic management style. </w:t>
      </w:r>
      <w:r w:rsidR="00E30FF1">
        <w:t xml:space="preserve"> Jason also mentioned the participation of N</w:t>
      </w:r>
      <w:r w:rsidR="0006231A">
        <w:t xml:space="preserve">ASA with </w:t>
      </w:r>
      <w:r w:rsidR="002770D5">
        <w:t xml:space="preserve">added </w:t>
      </w:r>
      <w:r w:rsidR="0006231A">
        <w:t>resources</w:t>
      </w:r>
      <w:r w:rsidR="002770D5">
        <w:t xml:space="preserve">. NASA will not be a </w:t>
      </w:r>
      <w:r w:rsidR="00F72870">
        <w:t>full-blown</w:t>
      </w:r>
      <w:r w:rsidR="002770D5">
        <w:t xml:space="preserve"> partner since they </w:t>
      </w:r>
      <w:r w:rsidR="00402A04">
        <w:t>were not</w:t>
      </w:r>
      <w:r w:rsidR="002770D5">
        <w:t xml:space="preserve"> present from the beginning of the pr</w:t>
      </w:r>
      <w:r w:rsidR="009543E8">
        <w:t>oject.  We will benefit from good collaboration</w:t>
      </w:r>
      <w:r w:rsidR="00471294">
        <w:t xml:space="preserve"> and expertise from their jet propulsion lab experts, but don’t expect investment dollars. </w:t>
      </w:r>
      <w:r w:rsidR="00BA1517">
        <w:t xml:space="preserve">Due to the importance of early detection, we can </w:t>
      </w:r>
      <w:r w:rsidR="00BC18E4">
        <w:t xml:space="preserve">benefit from their ‘air surveys’ </w:t>
      </w:r>
      <w:r w:rsidR="000C73CF">
        <w:t xml:space="preserve">to guide some adaptive </w:t>
      </w:r>
      <w:r w:rsidR="000C73CF">
        <w:lastRenderedPageBreak/>
        <w:t xml:space="preserve">management.  These are less helpful for drawing specific polygons for treatment. </w:t>
      </w:r>
      <w:r w:rsidR="00973714">
        <w:t xml:space="preserve">Post spruce beetle attacks the needles changed colors a year later and remote sensing </w:t>
      </w:r>
      <w:r w:rsidR="007A697D">
        <w:t>at 15 months is before the change of colors.</w:t>
      </w:r>
    </w:p>
    <w:p w14:paraId="5AAC8EAE" w14:textId="31912C70" w:rsidR="00EE77B7" w:rsidRDefault="00EE77B7" w:rsidP="00E85EA3">
      <w:pPr>
        <w:pStyle w:val="NoSpacing"/>
      </w:pPr>
    </w:p>
    <w:p w14:paraId="2962867A" w14:textId="4E9FC8D7" w:rsidR="00525CAD" w:rsidRDefault="00525CAD" w:rsidP="00E85EA3">
      <w:pPr>
        <w:pStyle w:val="NoSpacing"/>
      </w:pPr>
      <w:r>
        <w:t>Denser Hori</w:t>
      </w:r>
      <w:r w:rsidR="002555F2">
        <w:t xml:space="preserve">zontal Cover </w:t>
      </w:r>
      <w:r w:rsidR="000D02C6">
        <w:t xml:space="preserve">(DHC) </w:t>
      </w:r>
      <w:r w:rsidR="00361B69">
        <w:t xml:space="preserve">analysis </w:t>
      </w:r>
      <w:r w:rsidR="002555F2">
        <w:t>assistance</w:t>
      </w:r>
      <w:r w:rsidR="00361B69">
        <w:t xml:space="preserve"> (important data for Lynx </w:t>
      </w:r>
      <w:r w:rsidR="00264FA9">
        <w:t>management) is</w:t>
      </w:r>
      <w:r w:rsidR="002555F2">
        <w:t xml:space="preserve"> time consuming for the USFS but can be helped by NASA assistance. </w:t>
      </w:r>
      <w:r w:rsidR="00D81EB1">
        <w:t xml:space="preserve"> There were questions raised on the </w:t>
      </w:r>
      <w:r w:rsidR="000D02C6">
        <w:t xml:space="preserve">DHC changes due to changes in climate.  </w:t>
      </w:r>
      <w:r w:rsidR="00E57AE8">
        <w:t xml:space="preserve">There may be highly dynamic effects from climate change over the next 20 years. </w:t>
      </w:r>
    </w:p>
    <w:p w14:paraId="5EBEA8B5" w14:textId="49557C2E" w:rsidR="00964DC4" w:rsidRDefault="00964DC4" w:rsidP="00E85EA3">
      <w:pPr>
        <w:pStyle w:val="NoSpacing"/>
      </w:pPr>
    </w:p>
    <w:p w14:paraId="11E7AF05" w14:textId="77777777" w:rsidR="00311CE2" w:rsidRPr="00DD23C2" w:rsidRDefault="00311CE2" w:rsidP="00311CE2">
      <w:pPr>
        <w:pStyle w:val="NoSpacing"/>
        <w:rPr>
          <w:b/>
          <w:bCs/>
        </w:rPr>
      </w:pPr>
      <w:r w:rsidRPr="00DD23C2">
        <w:rPr>
          <w:b/>
          <w:bCs/>
        </w:rPr>
        <w:t>Item No. 3:</w:t>
      </w:r>
      <w:r w:rsidRPr="00DD23C2">
        <w:rPr>
          <w:b/>
          <w:bCs/>
        </w:rPr>
        <w:tab/>
        <w:t>Update on Bald Timber Sale Planning/Prescriptions – Carlyn Perovich</w:t>
      </w:r>
    </w:p>
    <w:p w14:paraId="67C314CF" w14:textId="68EF1B0B" w:rsidR="00E31ED2" w:rsidRDefault="00311CE2" w:rsidP="00E85EA3">
      <w:pPr>
        <w:pStyle w:val="NoSpacing"/>
      </w:pPr>
      <w:r>
        <w:t>Item 3</w:t>
      </w:r>
      <w:r w:rsidR="00E31ED2">
        <w:t xml:space="preserve"> was covered next which was a further update on the Bald Timber Sale Planning.</w:t>
      </w:r>
    </w:p>
    <w:p w14:paraId="686C9274" w14:textId="4912E0E7" w:rsidR="00964DC4" w:rsidRDefault="00964DC4" w:rsidP="00E85EA3">
      <w:pPr>
        <w:pStyle w:val="NoSpacing"/>
      </w:pPr>
      <w:r>
        <w:t xml:space="preserve">Scott Johnson CSFS reviewed his findings </w:t>
      </w:r>
      <w:r w:rsidR="00B92B25">
        <w:t xml:space="preserve">applicable to the Bald Timber Sale.  Prior treatments were dated between </w:t>
      </w:r>
      <w:r w:rsidR="009676AC">
        <w:t>1957 and 1988.  He found</w:t>
      </w:r>
      <w:r w:rsidR="00E734CB">
        <w:t xml:space="preserve"> generally</w:t>
      </w:r>
      <w:r w:rsidR="009676AC">
        <w:t xml:space="preserve"> </w:t>
      </w:r>
      <w:r w:rsidR="00264FA9">
        <w:t>good, advanced</w:t>
      </w:r>
      <w:r w:rsidR="009676AC">
        <w:t xml:space="preserve"> regeneration, and </w:t>
      </w:r>
      <w:r w:rsidR="00E734CB">
        <w:t xml:space="preserve">found less regen where clearcutting was the treatment from the 70’s. </w:t>
      </w:r>
      <w:r w:rsidR="00CF626F">
        <w:t xml:space="preserve"> He noted old roads could be used for the new timber management and noted </w:t>
      </w:r>
      <w:r w:rsidR="00F71B9D">
        <w:t xml:space="preserve">the need to avoid damaging the advanced regen.  </w:t>
      </w:r>
      <w:r w:rsidR="00D56BBD">
        <w:t xml:space="preserve">The clearcutting from the 70’s was not </w:t>
      </w:r>
      <w:r w:rsidR="00CB23A6">
        <w:t xml:space="preserve">silviculturally correct and was replanted at the time to Lodgepole.  </w:t>
      </w:r>
      <w:r w:rsidR="00BE0948">
        <w:t>Replanting to spruce is planned for later this fall.</w:t>
      </w:r>
      <w:r w:rsidR="00E31ED2">
        <w:t xml:space="preserve"> This review was conducted before planning prescriptions and Carlyn asked for input from the field trip attendees as to questions and </w:t>
      </w:r>
      <w:r w:rsidR="00996C18">
        <w:t>reactions to the stands that will be treated in 2021.  This was an effort to elicit input prior to finalizing prescriptions.</w:t>
      </w:r>
    </w:p>
    <w:p w14:paraId="187AF98F" w14:textId="40C4A9E8" w:rsidR="00BA0285" w:rsidRDefault="00BA0285" w:rsidP="00E85EA3">
      <w:pPr>
        <w:pStyle w:val="NoSpacing"/>
      </w:pPr>
    </w:p>
    <w:p w14:paraId="53B703A5" w14:textId="376388AE" w:rsidR="00BA0285" w:rsidRDefault="00BA0285" w:rsidP="00E85EA3">
      <w:pPr>
        <w:pStyle w:val="NoSpacing"/>
      </w:pPr>
      <w:r>
        <w:t>Mike Battaglia</w:t>
      </w:r>
      <w:r w:rsidR="001A5568">
        <w:t xml:space="preserve"> described moving to ‘mini-adaptive silviculture prescriptions.</w:t>
      </w:r>
      <w:r w:rsidR="00EE393A">
        <w:t xml:space="preserve">  He uses the field work above described by Scott and </w:t>
      </w:r>
      <w:r w:rsidR="00C9095E">
        <w:t xml:space="preserve">plans to </w:t>
      </w:r>
      <w:r w:rsidR="000F0386">
        <w:t>consider</w:t>
      </w:r>
      <w:r w:rsidR="00C9095E">
        <w:t xml:space="preserve"> slopes (south facing) and regen and other topographical features which will </w:t>
      </w:r>
      <w:r w:rsidR="00D846B3">
        <w:t xml:space="preserve">inform the ‘mini-prescriptions.’  He plans to have them done by Feb 2021 and </w:t>
      </w:r>
      <w:r w:rsidR="00653A87">
        <w:t>field prep will follow next spring.</w:t>
      </w:r>
      <w:r w:rsidR="00BE30DA">
        <w:t xml:space="preserve">  The AMG group expressed support for this adaptive approach.</w:t>
      </w:r>
    </w:p>
    <w:p w14:paraId="601C51FD" w14:textId="77777777" w:rsidR="00094A04" w:rsidRDefault="00094A04" w:rsidP="00E85EA3">
      <w:pPr>
        <w:pStyle w:val="NoSpacing"/>
      </w:pPr>
    </w:p>
    <w:p w14:paraId="4B97CE85" w14:textId="38D1F5DA" w:rsidR="00EE77B7" w:rsidRPr="00DD23C2" w:rsidRDefault="00EE77B7" w:rsidP="00DD23C2">
      <w:pPr>
        <w:pStyle w:val="NoSpacing"/>
        <w:ind w:left="1440" w:hanging="1440"/>
        <w:rPr>
          <w:b/>
          <w:bCs/>
        </w:rPr>
      </w:pPr>
      <w:r w:rsidRPr="00DD23C2">
        <w:rPr>
          <w:b/>
          <w:bCs/>
        </w:rPr>
        <w:t>Item No. 2</w:t>
      </w:r>
      <w:r w:rsidR="00DD23C2" w:rsidRPr="00DD23C2">
        <w:rPr>
          <w:b/>
          <w:bCs/>
        </w:rPr>
        <w:t>:</w:t>
      </w:r>
      <w:r w:rsidR="00DD23C2" w:rsidRPr="00DD23C2">
        <w:rPr>
          <w:b/>
          <w:bCs/>
        </w:rPr>
        <w:tab/>
        <w:t>Review Revised AMG Monitoring Matrix/Approve AMG Recommendations for Adaptations</w:t>
      </w:r>
      <w:r w:rsidR="005E76B0">
        <w:rPr>
          <w:b/>
          <w:bCs/>
        </w:rPr>
        <w:t xml:space="preserve"> – </w:t>
      </w:r>
      <w:r w:rsidR="005E76B0" w:rsidRPr="005E76B0">
        <w:rPr>
          <w:b/>
          <w:bCs/>
        </w:rPr>
        <w:t>Tony Cheng, Clay Speas, AMG Monitoring Committee Members</w:t>
      </w:r>
    </w:p>
    <w:p w14:paraId="367EB77A" w14:textId="0C1AE091" w:rsidR="00EE77B7" w:rsidRDefault="00EE77B7" w:rsidP="00E85EA3">
      <w:pPr>
        <w:pStyle w:val="NoSpacing"/>
      </w:pPr>
      <w:r>
        <w:t>Tony outlined the new format.</w:t>
      </w:r>
    </w:p>
    <w:p w14:paraId="7E25C4B5" w14:textId="504C22A3" w:rsidR="00EE77B7" w:rsidRDefault="00EE77B7" w:rsidP="00E85EA3">
      <w:pPr>
        <w:pStyle w:val="NoSpacing"/>
      </w:pPr>
      <w:r>
        <w:t>First pages 1-15 followed the ROD and FEIS</w:t>
      </w:r>
      <w:r w:rsidR="00DF175E">
        <w:t>.</w:t>
      </w:r>
    </w:p>
    <w:p w14:paraId="13D9B570" w14:textId="4170A6CA" w:rsidR="00DF175E" w:rsidRDefault="00DF175E" w:rsidP="00E85EA3">
      <w:pPr>
        <w:pStyle w:val="NoSpacing"/>
      </w:pPr>
      <w:r>
        <w:t>The final column will be renamed as ‘Adaptive Actions’</w:t>
      </w:r>
    </w:p>
    <w:p w14:paraId="4CF910D7" w14:textId="6E2A1A01" w:rsidR="00EE77B7" w:rsidRDefault="00EE77B7" w:rsidP="00E85EA3">
      <w:pPr>
        <w:pStyle w:val="NoSpacing"/>
      </w:pPr>
      <w:r>
        <w:t>Pages 16-17 were noted as AMG generated topics.</w:t>
      </w:r>
      <w:r w:rsidR="00286F5B">
        <w:t xml:space="preserve">  Tony noted that data collection </w:t>
      </w:r>
      <w:r w:rsidR="00A93FF2">
        <w:t xml:space="preserve">for this section </w:t>
      </w:r>
      <w:r w:rsidR="00286F5B">
        <w:t xml:space="preserve">is TBD or To Be Determined.  </w:t>
      </w:r>
    </w:p>
    <w:p w14:paraId="65F11ECB" w14:textId="54362F78" w:rsidR="00286F5B" w:rsidRDefault="00286F5B" w:rsidP="00E85EA3">
      <w:pPr>
        <w:pStyle w:val="NoSpacing"/>
      </w:pPr>
      <w:r>
        <w:t>Tony noted that the matrix has been in development for a year</w:t>
      </w:r>
      <w:r w:rsidR="00C90AFA">
        <w:t xml:space="preserve">, </w:t>
      </w:r>
      <w:r>
        <w:t xml:space="preserve">and </w:t>
      </w:r>
      <w:r w:rsidR="00C90AFA">
        <w:t xml:space="preserve">that it was </w:t>
      </w:r>
      <w:r>
        <w:t>introduced in Jan 2020</w:t>
      </w:r>
      <w:r w:rsidR="00C90AFA">
        <w:t>.</w:t>
      </w:r>
      <w:r>
        <w:t xml:space="preserve"> </w:t>
      </w:r>
      <w:r w:rsidR="00846463">
        <w:t xml:space="preserve">The USFS staff </w:t>
      </w:r>
      <w:r>
        <w:t xml:space="preserve">filled out </w:t>
      </w:r>
      <w:r w:rsidR="00846463">
        <w:t>their findings and this completed matrix is being reviewed in</w:t>
      </w:r>
      <w:r>
        <w:t xml:space="preserve"> this meeting. He needs to send out updated checklist which </w:t>
      </w:r>
      <w:r w:rsidR="00846463">
        <w:t xml:space="preserve">has some changes which </w:t>
      </w:r>
      <w:r>
        <w:t>is one of the outcomes.</w:t>
      </w:r>
    </w:p>
    <w:p w14:paraId="3DC7FF83" w14:textId="77777777" w:rsidR="0086204D" w:rsidRDefault="0086204D" w:rsidP="00E85EA3">
      <w:pPr>
        <w:pStyle w:val="NoSpacing"/>
      </w:pPr>
    </w:p>
    <w:p w14:paraId="7BF04CE5" w14:textId="76EBFD38" w:rsidR="00E36E22" w:rsidRDefault="00286F5B" w:rsidP="00E85EA3">
      <w:pPr>
        <w:pStyle w:val="NoSpacing"/>
      </w:pPr>
      <w:r>
        <w:t xml:space="preserve">Robin wanted to have dates </w:t>
      </w:r>
      <w:r w:rsidR="00846463">
        <w:t xml:space="preserve">of various </w:t>
      </w:r>
      <w:r w:rsidR="00BC070F">
        <w:t xml:space="preserve">management </w:t>
      </w:r>
      <w:r w:rsidR="00846463">
        <w:t xml:space="preserve">changes </w:t>
      </w:r>
      <w:r>
        <w:t>added</w:t>
      </w:r>
      <w:r w:rsidR="00BC070F">
        <w:t xml:space="preserve"> to the matrix,</w:t>
      </w:r>
      <w:r>
        <w:t xml:space="preserve"> but it was explained that this is an annual report which would only list new adaptations occurring in the year of the report. </w:t>
      </w:r>
      <w:r w:rsidR="00104DD7">
        <w:t>This report will updated every May or June.</w:t>
      </w:r>
      <w:r>
        <w:t xml:space="preserve"> </w:t>
      </w:r>
      <w:r w:rsidR="00E36E22">
        <w:t xml:space="preserve">Listing a historic </w:t>
      </w:r>
      <w:r w:rsidR="00BC070F">
        <w:t xml:space="preserve">record of dates </w:t>
      </w:r>
      <w:r w:rsidR="00E36E22">
        <w:t>would make this document longer and more unwieldy.</w:t>
      </w:r>
    </w:p>
    <w:p w14:paraId="565E575C" w14:textId="77777777" w:rsidR="00BD648B" w:rsidRDefault="00BD648B" w:rsidP="00E85EA3">
      <w:pPr>
        <w:pStyle w:val="NoSpacing"/>
      </w:pPr>
    </w:p>
    <w:p w14:paraId="11C98043" w14:textId="46D052F6" w:rsidR="00286F5B" w:rsidRDefault="00286F5B" w:rsidP="00E85EA3">
      <w:pPr>
        <w:pStyle w:val="NoSpacing"/>
      </w:pPr>
      <w:r>
        <w:t xml:space="preserve">Clay noted the adaptations often pertain to </w:t>
      </w:r>
      <w:r w:rsidR="0039714D">
        <w:t>2021 or 2022</w:t>
      </w:r>
      <w:r w:rsidR="007C5047">
        <w:t xml:space="preserve"> </w:t>
      </w:r>
      <w:r>
        <w:t xml:space="preserve">since the existing projects are under </w:t>
      </w:r>
      <w:r w:rsidR="001E3730">
        <w:t xml:space="preserve">legal </w:t>
      </w:r>
      <w:r>
        <w:t xml:space="preserve">contracts that cannot be </w:t>
      </w:r>
      <w:r w:rsidR="000F0386">
        <w:t>changed,</w:t>
      </w:r>
      <w:r w:rsidR="007C5047">
        <w:t xml:space="preserve"> and treatments are in process</w:t>
      </w:r>
      <w:r>
        <w:t>. New contracts would contain the adaptations.</w:t>
      </w:r>
      <w:r w:rsidR="00831D26">
        <w:t xml:space="preserve">  Clay’s example was a change in requirements on closing temp roads. The old standard was ripping to a 12” depth which is too disturbing to the soil layers and future standards will be </w:t>
      </w:r>
      <w:r w:rsidR="00763B26">
        <w:t xml:space="preserve">less deep but adequate for </w:t>
      </w:r>
      <w:r w:rsidR="009C5667">
        <w:t>reseeding a cover crop.</w:t>
      </w:r>
      <w:r w:rsidR="00A83FEF">
        <w:t xml:space="preserve"> Another example </w:t>
      </w:r>
      <w:r w:rsidR="00584C65">
        <w:t xml:space="preserve">of management </w:t>
      </w:r>
      <w:r w:rsidR="00206765">
        <w:t>change</w:t>
      </w:r>
      <w:r w:rsidR="00584C65">
        <w:t xml:space="preserve"> </w:t>
      </w:r>
      <w:r w:rsidR="00A83FEF">
        <w:t>was to leave some slash piles for hare habitat</w:t>
      </w:r>
      <w:r w:rsidR="005806DE">
        <w:t xml:space="preserve"> per an AMG suggestion.</w:t>
      </w:r>
    </w:p>
    <w:p w14:paraId="3BDB8CE6" w14:textId="731B2603" w:rsidR="009C5667" w:rsidRDefault="009C5667" w:rsidP="00E85EA3">
      <w:pPr>
        <w:pStyle w:val="NoSpacing"/>
      </w:pPr>
    </w:p>
    <w:p w14:paraId="738E4197" w14:textId="35D65E6D" w:rsidR="00082D81" w:rsidRDefault="00082D81" w:rsidP="00E85EA3">
      <w:pPr>
        <w:pStyle w:val="NoSpacing"/>
      </w:pPr>
      <w:r>
        <w:lastRenderedPageBreak/>
        <w:t xml:space="preserve">Mary asked when data would be available for the final questions.  Tony responded that </w:t>
      </w:r>
      <w:r w:rsidR="00710CD9">
        <w:t xml:space="preserve">individual projects/ sales need to be completed before certain data can be collected. </w:t>
      </w:r>
      <w:r w:rsidR="00ED6C20">
        <w:t xml:space="preserve"> He also noted that non-governmental data is more difficult to </w:t>
      </w:r>
      <w:r w:rsidR="00206765">
        <w:t>collect and</w:t>
      </w:r>
      <w:r w:rsidR="000C4DAC">
        <w:t xml:space="preserve"> asked what action </w:t>
      </w:r>
      <w:r w:rsidR="00402A04">
        <w:t>the AMG would</w:t>
      </w:r>
      <w:r w:rsidR="005A0F9A">
        <w:t xml:space="preserve"> </w:t>
      </w:r>
      <w:r w:rsidR="000C4DAC">
        <w:t xml:space="preserve">be taking from that effort.  </w:t>
      </w:r>
      <w:r w:rsidR="00A967D8">
        <w:t xml:space="preserve">Mary responded a basic need to understand </w:t>
      </w:r>
      <w:r w:rsidR="00206765">
        <w:t>who is</w:t>
      </w:r>
      <w:r w:rsidR="00A967D8">
        <w:t xml:space="preserve"> benefiting from the contracts.</w:t>
      </w:r>
      <w:r w:rsidR="00910B18">
        <w:t xml:space="preserve"> Questions such as 1</w:t>
      </w:r>
      <w:r w:rsidR="0006797A">
        <w:t xml:space="preserve">) Where or </w:t>
      </w:r>
      <w:r w:rsidR="00910B18">
        <w:t xml:space="preserve">sale location (county), </w:t>
      </w:r>
      <w:r w:rsidR="0006797A">
        <w:t xml:space="preserve">2) Who or </w:t>
      </w:r>
      <w:r w:rsidR="00910B18">
        <w:t>contract purchaser</w:t>
      </w:r>
      <w:r w:rsidR="0006797A">
        <w:t>, 3) Company adding value</w:t>
      </w:r>
      <w:r w:rsidR="00CB1283">
        <w:t xml:space="preserve"> are easy data.  </w:t>
      </w:r>
    </w:p>
    <w:p w14:paraId="22999C55" w14:textId="77777777" w:rsidR="000C1C46" w:rsidRDefault="000C1C46" w:rsidP="00E85EA3">
      <w:pPr>
        <w:pStyle w:val="NoSpacing"/>
      </w:pPr>
    </w:p>
    <w:p w14:paraId="123019F7" w14:textId="2D9C1D72" w:rsidR="00384A3B" w:rsidRDefault="00EA478E" w:rsidP="00E85EA3">
      <w:pPr>
        <w:pStyle w:val="NoSpacing"/>
      </w:pPr>
      <w:r>
        <w:t>Clay reminded the group that the Action</w:t>
      </w:r>
      <w:r w:rsidR="000C1C46">
        <w:t xml:space="preserve"> </w:t>
      </w:r>
      <w:r>
        <w:t>s</w:t>
      </w:r>
      <w:r w:rsidR="000C1C46">
        <w:t>ection was reviewed by the AMG at the June meeting.  Each action recommendation as vot</w:t>
      </w:r>
      <w:r w:rsidR="00567F06">
        <w:t>ed on and approved by the AMG.</w:t>
      </w:r>
      <w:r w:rsidR="005806DE">
        <w:t xml:space="preserve"> He noted that all SBEADMR objectives are being met. </w:t>
      </w:r>
      <w:r w:rsidR="00C81D72">
        <w:t xml:space="preserve">He continues to track lynx habitat </w:t>
      </w:r>
      <w:r w:rsidR="00206765">
        <w:t>conditions and</w:t>
      </w:r>
      <w:r w:rsidR="00C81D72">
        <w:t xml:space="preserve"> tracks the % of habitat that moves into the unsuitable category.  </w:t>
      </w:r>
      <w:r w:rsidR="001A13BB">
        <w:t xml:space="preserve">Single story stands are unsuitable due to standing dead and when </w:t>
      </w:r>
      <w:r w:rsidR="002A41EA">
        <w:t>timber is salvaged the area becomes more ‘unsuitable</w:t>
      </w:r>
      <w:r w:rsidR="00206765">
        <w:t>’,</w:t>
      </w:r>
      <w:r w:rsidR="002A41EA">
        <w:t xml:space="preserve"> but no change in % of lynx habitat.  </w:t>
      </w:r>
      <w:r w:rsidR="00C81D72">
        <w:t xml:space="preserve"> </w:t>
      </w:r>
    </w:p>
    <w:p w14:paraId="06A0D9AA" w14:textId="77777777" w:rsidR="005806DE" w:rsidRDefault="005806DE" w:rsidP="00E85EA3">
      <w:pPr>
        <w:pStyle w:val="NoSpacing"/>
      </w:pPr>
    </w:p>
    <w:p w14:paraId="65EDE262" w14:textId="441B1A11" w:rsidR="00E36E22" w:rsidRDefault="00E36E22" w:rsidP="00E85EA3">
      <w:pPr>
        <w:pStyle w:val="NoSpacing"/>
      </w:pPr>
      <w:r>
        <w:t>Craig had a concern that local</w:t>
      </w:r>
      <w:r w:rsidR="00A53EF0">
        <w:t xml:space="preserve"> folks </w:t>
      </w:r>
      <w:r w:rsidR="00200171">
        <w:t xml:space="preserve">often </w:t>
      </w:r>
      <w:r>
        <w:t>raise</w:t>
      </w:r>
      <w:r w:rsidR="0086301E">
        <w:t xml:space="preserve"> issues/ complaints</w:t>
      </w:r>
      <w:r>
        <w:t xml:space="preserve"> after the project begins </w:t>
      </w:r>
      <w:r w:rsidR="00A53EF0">
        <w:t>implementation and he gave Lone Cone as an example</w:t>
      </w:r>
      <w:r>
        <w:t xml:space="preserve">.  </w:t>
      </w:r>
      <w:r w:rsidRPr="00A74CB0">
        <w:rPr>
          <w:b/>
          <w:bCs/>
        </w:rPr>
        <w:t xml:space="preserve">The adaptation suggested is that local ranger districts needed additional outreach as </w:t>
      </w:r>
      <w:r w:rsidR="00A53EF0" w:rsidRPr="00A74CB0">
        <w:rPr>
          <w:b/>
          <w:bCs/>
        </w:rPr>
        <w:t xml:space="preserve">each new </w:t>
      </w:r>
      <w:r w:rsidRPr="00A74CB0">
        <w:rPr>
          <w:b/>
          <w:bCs/>
        </w:rPr>
        <w:t xml:space="preserve">project is firmed up with specific silviculture, </w:t>
      </w:r>
      <w:r w:rsidR="005E76B0" w:rsidRPr="00A74CB0">
        <w:rPr>
          <w:b/>
          <w:bCs/>
        </w:rPr>
        <w:t>design,</w:t>
      </w:r>
      <w:r w:rsidRPr="00A74CB0">
        <w:rPr>
          <w:b/>
          <w:bCs/>
        </w:rPr>
        <w:t xml:space="preserve"> and timelines. The Matrix could track the number of field trips, articles or other project level outreach efforts made by RD’s. </w:t>
      </w:r>
      <w:r>
        <w:t xml:space="preserve"> County reps could also track projects </w:t>
      </w:r>
      <w:r w:rsidR="005E76B0">
        <w:t>to</w:t>
      </w:r>
      <w:r>
        <w:t xml:space="preserve"> keep County Commissioners up to date on new project initiation.</w:t>
      </w:r>
    </w:p>
    <w:p w14:paraId="5EC3C55B" w14:textId="77777777" w:rsidR="00ED1E1F" w:rsidRDefault="00ED1E1F" w:rsidP="00E85EA3">
      <w:pPr>
        <w:pStyle w:val="NoSpacing"/>
      </w:pPr>
    </w:p>
    <w:p w14:paraId="00E5AAD3" w14:textId="3B7E420B" w:rsidR="00E36E22" w:rsidRPr="00B52F1A" w:rsidRDefault="00E36E22" w:rsidP="00E85EA3">
      <w:pPr>
        <w:pStyle w:val="NoSpacing"/>
        <w:rPr>
          <w:b/>
          <w:bCs/>
        </w:rPr>
      </w:pPr>
      <w:r>
        <w:t>Chris J mentioned that annual meetings are focused on future projects which are hard for the public to relate to and perhaps adding information on current year projects would increase</w:t>
      </w:r>
      <w:r w:rsidR="00F87308">
        <w:t xml:space="preserve"> attendance at the annual public </w:t>
      </w:r>
      <w:r w:rsidR="0036125E">
        <w:t>meeting.</w:t>
      </w:r>
      <w:r w:rsidR="0036125E">
        <w:rPr>
          <w:b/>
          <w:bCs/>
        </w:rPr>
        <w:t xml:space="preserve"> T</w:t>
      </w:r>
    </w:p>
    <w:p w14:paraId="27D2C02A" w14:textId="77777777" w:rsidR="00E36E22" w:rsidRPr="006F058E" w:rsidRDefault="00E36E22" w:rsidP="00E85EA3">
      <w:pPr>
        <w:pStyle w:val="NoSpacing"/>
        <w:rPr>
          <w:b/>
          <w:bCs/>
        </w:rPr>
      </w:pPr>
    </w:p>
    <w:p w14:paraId="5658E183" w14:textId="51E29AF0" w:rsidR="00E36E22" w:rsidRDefault="00E36E22" w:rsidP="00E85EA3">
      <w:pPr>
        <w:pStyle w:val="NoSpacing"/>
      </w:pPr>
      <w:r>
        <w:t>NF asked for a formal motion to approve this as the new template and formal 2020 report, Justin Musser moved, and Mary C</w:t>
      </w:r>
      <w:r w:rsidR="005E76B0">
        <w:t>hapman</w:t>
      </w:r>
      <w:r>
        <w:t xml:space="preserve"> and Robin Nic</w:t>
      </w:r>
      <w:r w:rsidR="005E76B0">
        <w:t>holoff</w:t>
      </w:r>
      <w:r>
        <w:t xml:space="preserve"> seconded.  The motion passed unanimously.</w:t>
      </w:r>
    </w:p>
    <w:p w14:paraId="143C412A" w14:textId="77777777" w:rsidR="00E36E22" w:rsidRDefault="00E36E22" w:rsidP="00E85EA3">
      <w:pPr>
        <w:pStyle w:val="NoSpacing"/>
      </w:pPr>
    </w:p>
    <w:p w14:paraId="33A53B57" w14:textId="16F6EA4E" w:rsidR="00E36E22" w:rsidRPr="009941BF" w:rsidRDefault="00E36E22" w:rsidP="00E85EA3">
      <w:pPr>
        <w:pStyle w:val="NoSpacing"/>
        <w:rPr>
          <w:b/>
          <w:bCs/>
        </w:rPr>
      </w:pPr>
      <w:r w:rsidRPr="009941BF">
        <w:rPr>
          <w:b/>
          <w:bCs/>
        </w:rPr>
        <w:t>A last editorial suggestion was to add the header titles to every page.</w:t>
      </w:r>
    </w:p>
    <w:p w14:paraId="57AD262A" w14:textId="77777777" w:rsidR="00E36E22" w:rsidRPr="009941BF" w:rsidRDefault="00E36E22" w:rsidP="00E85EA3">
      <w:pPr>
        <w:pStyle w:val="NoSpacing"/>
        <w:rPr>
          <w:b/>
          <w:bCs/>
        </w:rPr>
      </w:pPr>
    </w:p>
    <w:p w14:paraId="0DB7A599" w14:textId="2542A988" w:rsidR="00E36E22" w:rsidRDefault="00E36E22" w:rsidP="00E85EA3">
      <w:pPr>
        <w:pStyle w:val="NoSpacing"/>
        <w:rPr>
          <w:b/>
          <w:bCs/>
        </w:rPr>
      </w:pPr>
      <w:r w:rsidRPr="00DD23C2">
        <w:rPr>
          <w:b/>
          <w:bCs/>
        </w:rPr>
        <w:t>Item</w:t>
      </w:r>
      <w:r w:rsidR="00DD23C2" w:rsidRPr="00DD23C2">
        <w:rPr>
          <w:b/>
          <w:bCs/>
        </w:rPr>
        <w:t xml:space="preserve"> No. 4:</w:t>
      </w:r>
      <w:r w:rsidR="00DD23C2" w:rsidRPr="00DD23C2">
        <w:rPr>
          <w:b/>
          <w:bCs/>
        </w:rPr>
        <w:tab/>
        <w:t>Overview of Purpose/Responsibility/Timeline of SBEADMR Reports</w:t>
      </w:r>
    </w:p>
    <w:p w14:paraId="096E9CBA" w14:textId="77777777" w:rsidR="00DD23C2" w:rsidRPr="00DD23C2" w:rsidRDefault="00DD23C2" w:rsidP="00E85EA3">
      <w:pPr>
        <w:pStyle w:val="NoSpacing"/>
        <w:rPr>
          <w:b/>
          <w:bCs/>
        </w:rPr>
      </w:pPr>
    </w:p>
    <w:p w14:paraId="1EA2769E" w14:textId="70A1A6CF" w:rsidR="008F6902" w:rsidRDefault="00E20F75" w:rsidP="00E85EA3">
      <w:pPr>
        <w:pStyle w:val="NoSpacing"/>
      </w:pPr>
      <w:r>
        <w:rPr>
          <w:b/>
          <w:bCs/>
        </w:rPr>
        <w:t>I</w:t>
      </w:r>
      <w:r w:rsidR="008F6902" w:rsidRPr="006F058E">
        <w:rPr>
          <w:b/>
          <w:bCs/>
        </w:rPr>
        <w:t>tem b</w:t>
      </w:r>
      <w:r w:rsidR="0036125E" w:rsidRPr="006F058E">
        <w:rPr>
          <w:b/>
          <w:bCs/>
        </w:rPr>
        <w:t>-</w:t>
      </w:r>
      <w:r w:rsidR="0036125E">
        <w:t xml:space="preserve"> The</w:t>
      </w:r>
      <w:r w:rsidR="006F058E">
        <w:t xml:space="preserve"> summer fieldwork </w:t>
      </w:r>
      <w:r w:rsidR="000A5897">
        <w:t xml:space="preserve">summary was a succinct </w:t>
      </w:r>
      <w:r w:rsidR="00402A04">
        <w:t>one-page</w:t>
      </w:r>
      <w:r w:rsidR="000A5897">
        <w:t xml:space="preserve"> document.</w:t>
      </w:r>
    </w:p>
    <w:p w14:paraId="0AA7B611" w14:textId="47D9CDBC" w:rsidR="00DF175E" w:rsidRDefault="00B52F1A" w:rsidP="00E85EA3">
      <w:pPr>
        <w:pStyle w:val="NoSpacing"/>
      </w:pPr>
      <w:r w:rsidRPr="003C7772">
        <w:rPr>
          <w:b/>
          <w:bCs/>
        </w:rPr>
        <w:t xml:space="preserve">Item c and </w:t>
      </w:r>
      <w:r w:rsidR="003C7772" w:rsidRPr="003C7772">
        <w:rPr>
          <w:b/>
          <w:bCs/>
        </w:rPr>
        <w:t>d -</w:t>
      </w:r>
      <w:r w:rsidR="003C7772">
        <w:rPr>
          <w:b/>
          <w:bCs/>
        </w:rPr>
        <w:t xml:space="preserve"> </w:t>
      </w:r>
      <w:r w:rsidR="00DF175E">
        <w:t>Carlyn felt that this template could easily be updated each year and Heather Sacket did a good, cost</w:t>
      </w:r>
      <w:r w:rsidR="00B355CF">
        <w:t>-</w:t>
      </w:r>
      <w:r w:rsidR="00DF175E">
        <w:t>effective job completing it for 2020.</w:t>
      </w:r>
      <w:r w:rsidR="000733DF">
        <w:t xml:space="preserve"> </w:t>
      </w:r>
      <w:r w:rsidR="00DF175E">
        <w:t>As Carlyn reviewed the timeline,</w:t>
      </w:r>
      <w:r w:rsidR="00DF175E" w:rsidRPr="00BD7AAD">
        <w:rPr>
          <w:b/>
          <w:bCs/>
        </w:rPr>
        <w:t xml:space="preserve"> it was suggested to add a monitoring subcommittee meeting prior to presentation to the full AMG in March or April. </w:t>
      </w:r>
      <w:r w:rsidR="00DF175E">
        <w:t xml:space="preserve"> </w:t>
      </w:r>
    </w:p>
    <w:p w14:paraId="219EEEFD" w14:textId="40B3B706" w:rsidR="00DF175E" w:rsidRDefault="00DF175E" w:rsidP="00E85EA3">
      <w:pPr>
        <w:pStyle w:val="NoSpacing"/>
      </w:pPr>
      <w:r>
        <w:t>Items ‘c</w:t>
      </w:r>
      <w:r w:rsidR="00FB3E24">
        <w:t xml:space="preserve"> (AMG Annual Review and Monitoring </w:t>
      </w:r>
      <w:r w:rsidR="0036125E">
        <w:t>Matrix) &amp;</w:t>
      </w:r>
      <w:r>
        <w:t xml:space="preserve"> d’</w:t>
      </w:r>
      <w:r w:rsidR="00FB3E24">
        <w:t xml:space="preserve"> (Annual Management Review for FS leadership team)</w:t>
      </w:r>
      <w:r>
        <w:t xml:space="preserve"> will now be incorporated into the AMG Annual Review and Monitoring Matrix and is </w:t>
      </w:r>
      <w:r w:rsidR="00D17531">
        <w:t xml:space="preserve">found </w:t>
      </w:r>
      <w:r>
        <w:t>in the column Management Review Conclusions.</w:t>
      </w:r>
    </w:p>
    <w:p w14:paraId="4AEA3C1C" w14:textId="5D44B65D" w:rsidR="00AF77B3" w:rsidRDefault="00E36DFA" w:rsidP="00E85EA3">
      <w:pPr>
        <w:pStyle w:val="NoSpacing"/>
      </w:pPr>
      <w:r>
        <w:rPr>
          <w:b/>
          <w:bCs/>
        </w:rPr>
        <w:t xml:space="preserve">Item e - </w:t>
      </w:r>
      <w:r w:rsidR="00AF77B3" w:rsidRPr="00AA1FDD">
        <w:rPr>
          <w:b/>
          <w:bCs/>
        </w:rPr>
        <w:t>To add clarity a suggestion was made to call item ‘e’ – 2020 SBEADMR Community Report.</w:t>
      </w:r>
      <w:r w:rsidR="00AF77B3">
        <w:rPr>
          <w:b/>
          <w:bCs/>
        </w:rPr>
        <w:t xml:space="preserve"> </w:t>
      </w:r>
      <w:r w:rsidR="000A5897">
        <w:t>This should help denote a layman version of SBEADMR activities.</w:t>
      </w:r>
    </w:p>
    <w:p w14:paraId="648674F2" w14:textId="737F48A2" w:rsidR="00DF175E" w:rsidRDefault="00DF175E" w:rsidP="00E85EA3">
      <w:pPr>
        <w:pStyle w:val="NoSpacing"/>
      </w:pPr>
      <w:r>
        <w:t>Final take-away: the efforts in 2020 did a good job in streamlining into 4 documents.</w:t>
      </w:r>
    </w:p>
    <w:p w14:paraId="75127079" w14:textId="5F71DB73" w:rsidR="00DD23C2" w:rsidRPr="00DD23C2" w:rsidRDefault="00DD23C2" w:rsidP="00E85EA3">
      <w:pPr>
        <w:pStyle w:val="NoSpacing"/>
        <w:rPr>
          <w:b/>
          <w:bCs/>
        </w:rPr>
      </w:pPr>
    </w:p>
    <w:p w14:paraId="2DFCB09B" w14:textId="592E9FFA" w:rsidR="00DD23C2" w:rsidRDefault="00DD23C2" w:rsidP="00E85EA3">
      <w:pPr>
        <w:pStyle w:val="NoSpacing"/>
        <w:rPr>
          <w:b/>
          <w:bCs/>
        </w:rPr>
      </w:pPr>
      <w:r w:rsidRPr="00DD23C2">
        <w:rPr>
          <w:b/>
          <w:bCs/>
        </w:rPr>
        <w:t>Item No. 5:</w:t>
      </w:r>
      <w:r w:rsidRPr="00DD23C2">
        <w:rPr>
          <w:b/>
          <w:bCs/>
        </w:rPr>
        <w:tab/>
        <w:t>SBEADMR Road Related Costs Spreadsheet Follow-Up – Clay Speas</w:t>
      </w:r>
    </w:p>
    <w:p w14:paraId="6CBC28B6" w14:textId="05A40CA9" w:rsidR="005F2E06" w:rsidRDefault="005F2E06" w:rsidP="00E85EA3">
      <w:pPr>
        <w:pStyle w:val="NoSpacing"/>
      </w:pPr>
      <w:r>
        <w:t xml:space="preserve">Clay briefed the group on his analysis of costs related to projects with a specific focus costs </w:t>
      </w:r>
      <w:r w:rsidR="0043102C">
        <w:t xml:space="preserve">spent </w:t>
      </w:r>
      <w:r w:rsidR="00D75A33">
        <w:t>on USFS</w:t>
      </w:r>
      <w:r>
        <w:t xml:space="preserve"> roads</w:t>
      </w:r>
      <w:r w:rsidR="000C6A4E">
        <w:t xml:space="preserve">.  He reported that effective October 1, of this year the FS budget system was changing the process of itemizing expenditures.  </w:t>
      </w:r>
      <w:r w:rsidR="006952B7">
        <w:t xml:space="preserve">In order to </w:t>
      </w:r>
      <w:r w:rsidR="005C2A6C">
        <w:t>determine expenses per project, he developed an internal GMUG spreadsheet and interview each relevant GMUG employee (support staff, accountants, specialists,</w:t>
      </w:r>
      <w:r w:rsidR="00930FAD">
        <w:t xml:space="preserve"> road engineers,</w:t>
      </w:r>
      <w:r w:rsidR="005C2A6C">
        <w:t xml:space="preserve"> </w:t>
      </w:r>
      <w:r w:rsidR="00D75A33">
        <w:t>etc.</w:t>
      </w:r>
      <w:r w:rsidR="005C2A6C">
        <w:t xml:space="preserve">) about the % of their time spent on any task related to the SBEADMR </w:t>
      </w:r>
      <w:r w:rsidR="005C2A6C">
        <w:lastRenderedPageBreak/>
        <w:t>project.</w:t>
      </w:r>
      <w:r w:rsidR="00930FAD">
        <w:t xml:space="preserve">  From that analysis he determined that the cost of the science team equated to $1.70 per </w:t>
      </w:r>
      <w:r w:rsidR="00D75A33">
        <w:t>ccf and</w:t>
      </w:r>
      <w:r w:rsidR="00930FAD">
        <w:t xml:space="preserve"> will determine the other costs per ccf.  </w:t>
      </w:r>
      <w:r w:rsidR="00A6150F">
        <w:t xml:space="preserve">  He committed to sharing the spreadsheet with the AMG when complete.  After questions, he said that he </w:t>
      </w:r>
      <w:r w:rsidR="00402A04">
        <w:t>did not</w:t>
      </w:r>
      <w:r w:rsidR="00A6150F">
        <w:t xml:space="preserve"> include the </w:t>
      </w:r>
      <w:r w:rsidR="00A6150F" w:rsidRPr="00A6150F">
        <w:rPr>
          <w:b/>
          <w:bCs/>
        </w:rPr>
        <w:t>savings</w:t>
      </w:r>
      <w:r w:rsidR="00A6150F">
        <w:rPr>
          <w:b/>
          <w:bCs/>
        </w:rPr>
        <w:t xml:space="preserve"> </w:t>
      </w:r>
      <w:r w:rsidR="00A6150F">
        <w:t>achieved by using one NEPA doc vs a typical 10 to 12 NEPA doc’s using the traditional approach.  An average EA costs $325,000.</w:t>
      </w:r>
    </w:p>
    <w:p w14:paraId="5F2B6FBC" w14:textId="61D052C5" w:rsidR="00A6150F" w:rsidRPr="007D4DD5" w:rsidRDefault="007D3ADE" w:rsidP="00E85EA3">
      <w:pPr>
        <w:pStyle w:val="NoSpacing"/>
        <w:rPr>
          <w:b/>
          <w:bCs/>
        </w:rPr>
      </w:pPr>
      <w:r>
        <w:br/>
      </w:r>
      <w:r w:rsidR="009B333C" w:rsidRPr="007D4DD5">
        <w:rPr>
          <w:b/>
          <w:bCs/>
        </w:rPr>
        <w:t xml:space="preserve">Justin asked that the effort continue by </w:t>
      </w:r>
      <w:r w:rsidR="009B333C" w:rsidRPr="007D4DD5">
        <w:rPr>
          <w:b/>
          <w:bCs/>
          <w:i/>
          <w:iCs/>
        </w:rPr>
        <w:t xml:space="preserve">adding </w:t>
      </w:r>
      <w:r w:rsidR="007D4DD5" w:rsidRPr="007D4DD5">
        <w:rPr>
          <w:b/>
          <w:bCs/>
        </w:rPr>
        <w:t>a quantification of the benefits of the SBEADMR treatments and the expedited process.  This part was assigned to Tony.</w:t>
      </w:r>
    </w:p>
    <w:p w14:paraId="368A2444" w14:textId="6C9E0750" w:rsidR="00DD23C2" w:rsidRDefault="00DD23C2" w:rsidP="00E85EA3">
      <w:pPr>
        <w:pStyle w:val="NoSpacing"/>
        <w:rPr>
          <w:b/>
          <w:bCs/>
        </w:rPr>
      </w:pPr>
    </w:p>
    <w:p w14:paraId="30BFD366" w14:textId="176FBBEB" w:rsidR="00DD23C2" w:rsidRDefault="00DD23C2" w:rsidP="00E85EA3">
      <w:pPr>
        <w:pStyle w:val="NoSpacing"/>
        <w:rPr>
          <w:b/>
          <w:bCs/>
        </w:rPr>
      </w:pPr>
      <w:r>
        <w:rPr>
          <w:b/>
          <w:bCs/>
        </w:rPr>
        <w:t>Item No. 6:</w:t>
      </w:r>
      <w:r>
        <w:rPr>
          <w:b/>
          <w:bCs/>
        </w:rPr>
        <w:tab/>
        <w:t>AMG Housekeeping Issues</w:t>
      </w:r>
    </w:p>
    <w:p w14:paraId="3488F01A" w14:textId="5C788B72" w:rsidR="00DD23C2" w:rsidRDefault="00DD23C2" w:rsidP="005E76B0">
      <w:pPr>
        <w:pStyle w:val="NoSpacing"/>
        <w:ind w:left="1440"/>
      </w:pPr>
      <w:r w:rsidRPr="00DD23C2">
        <w:t xml:space="preserve">a.  </w:t>
      </w:r>
      <w:r w:rsidRPr="005E76B0">
        <w:rPr>
          <w:u w:val="single"/>
        </w:rPr>
        <w:t xml:space="preserve">Proposed revisions to the AMG Operations </w:t>
      </w:r>
      <w:r w:rsidR="005E76B0" w:rsidRPr="005E76B0">
        <w:rPr>
          <w:u w:val="single"/>
        </w:rPr>
        <w:t>Manual</w:t>
      </w:r>
      <w:r w:rsidR="005E76B0">
        <w:t xml:space="preserve"> </w:t>
      </w:r>
      <w:r>
        <w:t xml:space="preserve">were presented and discussed.  </w:t>
      </w:r>
      <w:r w:rsidR="00D63218">
        <w:t xml:space="preserve">Primarily the document was updated to reflect the change in status of the PLP. </w:t>
      </w:r>
      <w:r w:rsidR="007B067B">
        <w:t xml:space="preserve"> </w:t>
      </w:r>
      <w:r w:rsidR="000D2E97">
        <w:t xml:space="preserve">Chris J noted that under Item 6 on page 6 that we should list the new CFRI/SBEADMR website. </w:t>
      </w:r>
      <w:r>
        <w:t>M/S/P Kyllo/J</w:t>
      </w:r>
      <w:r w:rsidR="00655295">
        <w:t>ustin</w:t>
      </w:r>
      <w:r>
        <w:t>.  Motion to approve the updated Operations Manual as presented effective October 1, 2020.</w:t>
      </w:r>
    </w:p>
    <w:p w14:paraId="7EACC074" w14:textId="41D79A74" w:rsidR="005E76B0" w:rsidRDefault="005E76B0" w:rsidP="005E76B0">
      <w:pPr>
        <w:pStyle w:val="NoSpacing"/>
        <w:ind w:left="1440"/>
      </w:pPr>
      <w:r>
        <w:t>b.  Status of CFRI SBEADMR Website:</w:t>
      </w:r>
      <w:r w:rsidR="00655295">
        <w:t xml:space="preserve"> Susan Hansen and Nancy are working on this in conjunction with Marin and Hannah who work at CFRI.</w:t>
      </w:r>
    </w:p>
    <w:p w14:paraId="569DA3AB" w14:textId="0146F3A9" w:rsidR="005E76B0" w:rsidRDefault="005E76B0" w:rsidP="005E76B0">
      <w:pPr>
        <w:pStyle w:val="NoSpacing"/>
        <w:ind w:left="1440"/>
      </w:pPr>
      <w:r>
        <w:t>c:  Public Outreach/Communication Efforts</w:t>
      </w:r>
      <w:r w:rsidR="00C33313">
        <w:t xml:space="preserve"> – updating the template will facilitate this in 2021.  Reaching out to </w:t>
      </w:r>
      <w:r w:rsidR="00C1463A">
        <w:t>Heather Sacket is feasible under existing budget if needed.</w:t>
      </w:r>
    </w:p>
    <w:p w14:paraId="05B85FA5" w14:textId="0D39F0B8" w:rsidR="005E76B0" w:rsidRDefault="005E76B0" w:rsidP="005E76B0">
      <w:pPr>
        <w:pStyle w:val="NoSpacing"/>
        <w:ind w:left="1440"/>
      </w:pPr>
    </w:p>
    <w:p w14:paraId="02D48A08" w14:textId="19FE4D46" w:rsidR="005E76B0" w:rsidRDefault="005E76B0" w:rsidP="005E76B0">
      <w:pPr>
        <w:pStyle w:val="NoSpacing"/>
        <w:rPr>
          <w:b/>
          <w:bCs/>
        </w:rPr>
      </w:pPr>
      <w:r w:rsidRPr="005E76B0">
        <w:rPr>
          <w:b/>
          <w:bCs/>
        </w:rPr>
        <w:t>Opportunity for Public Comment:  None</w:t>
      </w:r>
    </w:p>
    <w:p w14:paraId="1F0FE0EC" w14:textId="3F347B53" w:rsidR="005E76B0" w:rsidRPr="005E76B0" w:rsidRDefault="005E76B0" w:rsidP="005E76B0">
      <w:pPr>
        <w:pStyle w:val="NoSpacing"/>
        <w:rPr>
          <w:b/>
          <w:bCs/>
        </w:rPr>
      </w:pPr>
    </w:p>
    <w:p w14:paraId="5B6C04D4" w14:textId="523B38BF" w:rsidR="005E76B0" w:rsidRPr="005E76B0" w:rsidRDefault="005E76B0" w:rsidP="005E76B0">
      <w:pPr>
        <w:pStyle w:val="NoSpacing"/>
        <w:rPr>
          <w:b/>
          <w:bCs/>
        </w:rPr>
      </w:pPr>
      <w:r w:rsidRPr="005E76B0">
        <w:rPr>
          <w:b/>
          <w:bCs/>
        </w:rPr>
        <w:t>Non-Agenda Items</w:t>
      </w:r>
    </w:p>
    <w:p w14:paraId="44FCE768" w14:textId="35464976" w:rsidR="005E76B0" w:rsidRPr="005E76B0" w:rsidRDefault="005E76B0" w:rsidP="005E76B0">
      <w:pPr>
        <w:pStyle w:val="NoSpacing"/>
        <w:rPr>
          <w:b/>
          <w:bCs/>
        </w:rPr>
      </w:pPr>
    </w:p>
    <w:p w14:paraId="647D150C" w14:textId="3A508FD5" w:rsidR="005E76B0" w:rsidRPr="005E76B0" w:rsidRDefault="005E76B0" w:rsidP="005E76B0">
      <w:pPr>
        <w:pStyle w:val="NoSpacing"/>
        <w:rPr>
          <w:b/>
          <w:bCs/>
        </w:rPr>
      </w:pPr>
      <w:r w:rsidRPr="005E76B0">
        <w:rPr>
          <w:b/>
          <w:bCs/>
        </w:rPr>
        <w:t>Closing and Adjourn</w:t>
      </w:r>
    </w:p>
    <w:p w14:paraId="7B9FB62E" w14:textId="7B9B120B" w:rsidR="00DD23C2" w:rsidRPr="00DD23C2" w:rsidRDefault="00C1463A" w:rsidP="00E85EA3">
      <w:pPr>
        <w:pStyle w:val="NoSpacing"/>
      </w:pPr>
      <w:r>
        <w:t>Meeting adjourned at 11:50</w:t>
      </w:r>
      <w:r w:rsidR="00DD23C2">
        <w:tab/>
      </w:r>
    </w:p>
    <w:p w14:paraId="6CFB6B1A" w14:textId="0448B045" w:rsidR="00DF175E" w:rsidRDefault="00DF175E" w:rsidP="00E85EA3">
      <w:pPr>
        <w:pStyle w:val="NoSpacing"/>
      </w:pPr>
    </w:p>
    <w:p w14:paraId="46C561C5" w14:textId="4B2CD92C" w:rsidR="00DF175E" w:rsidRDefault="00DF175E" w:rsidP="00E85EA3">
      <w:pPr>
        <w:pStyle w:val="NoSpacing"/>
      </w:pPr>
    </w:p>
    <w:p w14:paraId="129447BA" w14:textId="77777777" w:rsidR="00DF175E" w:rsidRDefault="00DF175E" w:rsidP="00E85EA3">
      <w:pPr>
        <w:pStyle w:val="NoSpacing"/>
      </w:pPr>
    </w:p>
    <w:p w14:paraId="45939E4D" w14:textId="77777777" w:rsidR="00DF175E" w:rsidRPr="00E85EA3" w:rsidRDefault="00DF175E" w:rsidP="00E85EA3">
      <w:pPr>
        <w:pStyle w:val="NoSpacing"/>
      </w:pPr>
    </w:p>
    <w:sectPr w:rsidR="00DF175E" w:rsidRPr="00E85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7CB7" w14:textId="77777777" w:rsidR="00F9506D" w:rsidRDefault="00F9506D" w:rsidP="005E76B0">
      <w:r>
        <w:separator/>
      </w:r>
    </w:p>
  </w:endnote>
  <w:endnote w:type="continuationSeparator" w:id="0">
    <w:p w14:paraId="3268D4E9" w14:textId="77777777" w:rsidR="00F9506D" w:rsidRDefault="00F9506D" w:rsidP="005E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474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CAE2E" w14:textId="24D96C4F" w:rsidR="005E76B0" w:rsidRDefault="005E7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3F736" w14:textId="77777777" w:rsidR="005E76B0" w:rsidRDefault="005E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99E7" w14:textId="77777777" w:rsidR="00F9506D" w:rsidRDefault="00F9506D" w:rsidP="005E76B0">
      <w:r>
        <w:separator/>
      </w:r>
    </w:p>
  </w:footnote>
  <w:footnote w:type="continuationSeparator" w:id="0">
    <w:p w14:paraId="5A1EF253" w14:textId="77777777" w:rsidR="00F9506D" w:rsidRDefault="00F9506D" w:rsidP="005E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A3"/>
    <w:rsid w:val="00006022"/>
    <w:rsid w:val="0006231A"/>
    <w:rsid w:val="0006797A"/>
    <w:rsid w:val="000733DF"/>
    <w:rsid w:val="00082D81"/>
    <w:rsid w:val="00094A04"/>
    <w:rsid w:val="000A5897"/>
    <w:rsid w:val="000C1C46"/>
    <w:rsid w:val="000C4DAC"/>
    <w:rsid w:val="000C6A4E"/>
    <w:rsid w:val="000C73CF"/>
    <w:rsid w:val="000D02C6"/>
    <w:rsid w:val="000D2E97"/>
    <w:rsid w:val="000F0386"/>
    <w:rsid w:val="00104DD7"/>
    <w:rsid w:val="001A13BB"/>
    <w:rsid w:val="001A5568"/>
    <w:rsid w:val="001B633C"/>
    <w:rsid w:val="001C65CB"/>
    <w:rsid w:val="001D2AFC"/>
    <w:rsid w:val="001D5A30"/>
    <w:rsid w:val="001E3730"/>
    <w:rsid w:val="001E4C54"/>
    <w:rsid w:val="00200171"/>
    <w:rsid w:val="00206765"/>
    <w:rsid w:val="002136E6"/>
    <w:rsid w:val="002555F2"/>
    <w:rsid w:val="00264FA9"/>
    <w:rsid w:val="002765A4"/>
    <w:rsid w:val="002770D5"/>
    <w:rsid w:val="00286F5B"/>
    <w:rsid w:val="002A41EA"/>
    <w:rsid w:val="00311CE2"/>
    <w:rsid w:val="0036125E"/>
    <w:rsid w:val="00361B69"/>
    <w:rsid w:val="00384A3B"/>
    <w:rsid w:val="00387A09"/>
    <w:rsid w:val="0039714D"/>
    <w:rsid w:val="003C7772"/>
    <w:rsid w:val="003E1F6E"/>
    <w:rsid w:val="00402A04"/>
    <w:rsid w:val="00416831"/>
    <w:rsid w:val="0043102C"/>
    <w:rsid w:val="00455E95"/>
    <w:rsid w:val="00471294"/>
    <w:rsid w:val="005138F6"/>
    <w:rsid w:val="005210DE"/>
    <w:rsid w:val="0052297D"/>
    <w:rsid w:val="00525CAD"/>
    <w:rsid w:val="00535F10"/>
    <w:rsid w:val="00567F06"/>
    <w:rsid w:val="005806DE"/>
    <w:rsid w:val="00584C65"/>
    <w:rsid w:val="005A0F9A"/>
    <w:rsid w:val="005A6965"/>
    <w:rsid w:val="005C2A6C"/>
    <w:rsid w:val="005E1330"/>
    <w:rsid w:val="005E76B0"/>
    <w:rsid w:val="005F2E06"/>
    <w:rsid w:val="00653A87"/>
    <w:rsid w:val="00655295"/>
    <w:rsid w:val="006952B7"/>
    <w:rsid w:val="006F058E"/>
    <w:rsid w:val="00710CD9"/>
    <w:rsid w:val="0072615F"/>
    <w:rsid w:val="00757B55"/>
    <w:rsid w:val="00763B26"/>
    <w:rsid w:val="00784808"/>
    <w:rsid w:val="007A697D"/>
    <w:rsid w:val="007B067B"/>
    <w:rsid w:val="007C5047"/>
    <w:rsid w:val="007D15D3"/>
    <w:rsid w:val="007D3ADE"/>
    <w:rsid w:val="007D4DD5"/>
    <w:rsid w:val="007D6FBA"/>
    <w:rsid w:val="007E4A52"/>
    <w:rsid w:val="007F38F0"/>
    <w:rsid w:val="00831D26"/>
    <w:rsid w:val="00837814"/>
    <w:rsid w:val="00846463"/>
    <w:rsid w:val="0086204D"/>
    <w:rsid w:val="0086301E"/>
    <w:rsid w:val="008F6902"/>
    <w:rsid w:val="00910B18"/>
    <w:rsid w:val="00930FAD"/>
    <w:rsid w:val="009543E8"/>
    <w:rsid w:val="00954C53"/>
    <w:rsid w:val="00964DC4"/>
    <w:rsid w:val="009676AC"/>
    <w:rsid w:val="00973714"/>
    <w:rsid w:val="00991473"/>
    <w:rsid w:val="009941BF"/>
    <w:rsid w:val="00996C18"/>
    <w:rsid w:val="00997804"/>
    <w:rsid w:val="009B333C"/>
    <w:rsid w:val="009C5667"/>
    <w:rsid w:val="00A53EF0"/>
    <w:rsid w:val="00A6150F"/>
    <w:rsid w:val="00A74CB0"/>
    <w:rsid w:val="00A83FEF"/>
    <w:rsid w:val="00A93FF2"/>
    <w:rsid w:val="00A967D8"/>
    <w:rsid w:val="00AA1FDD"/>
    <w:rsid w:val="00AD510F"/>
    <w:rsid w:val="00AF77B3"/>
    <w:rsid w:val="00B355CF"/>
    <w:rsid w:val="00B52F1A"/>
    <w:rsid w:val="00B67C59"/>
    <w:rsid w:val="00B7563E"/>
    <w:rsid w:val="00B92B25"/>
    <w:rsid w:val="00BA0285"/>
    <w:rsid w:val="00BA1517"/>
    <w:rsid w:val="00BB071C"/>
    <w:rsid w:val="00BC070F"/>
    <w:rsid w:val="00BC18E4"/>
    <w:rsid w:val="00BC609F"/>
    <w:rsid w:val="00BD648B"/>
    <w:rsid w:val="00BD7AAD"/>
    <w:rsid w:val="00BE0948"/>
    <w:rsid w:val="00BE30DA"/>
    <w:rsid w:val="00C1463A"/>
    <w:rsid w:val="00C33313"/>
    <w:rsid w:val="00C81D72"/>
    <w:rsid w:val="00C9095E"/>
    <w:rsid w:val="00C90AFA"/>
    <w:rsid w:val="00CB1283"/>
    <w:rsid w:val="00CB23A6"/>
    <w:rsid w:val="00CF626F"/>
    <w:rsid w:val="00D17531"/>
    <w:rsid w:val="00D56BBD"/>
    <w:rsid w:val="00D56C1C"/>
    <w:rsid w:val="00D63218"/>
    <w:rsid w:val="00D70C25"/>
    <w:rsid w:val="00D75A33"/>
    <w:rsid w:val="00D81EB1"/>
    <w:rsid w:val="00D846B3"/>
    <w:rsid w:val="00DD23C2"/>
    <w:rsid w:val="00DF175E"/>
    <w:rsid w:val="00E20F75"/>
    <w:rsid w:val="00E30FF1"/>
    <w:rsid w:val="00E31ED2"/>
    <w:rsid w:val="00E36DFA"/>
    <w:rsid w:val="00E36E22"/>
    <w:rsid w:val="00E57AE8"/>
    <w:rsid w:val="00E658F5"/>
    <w:rsid w:val="00E67AC7"/>
    <w:rsid w:val="00E734CB"/>
    <w:rsid w:val="00E85EA3"/>
    <w:rsid w:val="00EA3FC7"/>
    <w:rsid w:val="00EA478E"/>
    <w:rsid w:val="00ED1E1F"/>
    <w:rsid w:val="00ED6C20"/>
    <w:rsid w:val="00EE393A"/>
    <w:rsid w:val="00EE77B7"/>
    <w:rsid w:val="00F1715F"/>
    <w:rsid w:val="00F607A0"/>
    <w:rsid w:val="00F71962"/>
    <w:rsid w:val="00F71B9D"/>
    <w:rsid w:val="00F72870"/>
    <w:rsid w:val="00F86D93"/>
    <w:rsid w:val="00F87308"/>
    <w:rsid w:val="00F9506D"/>
    <w:rsid w:val="00FB218C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1D58"/>
  <w15:chartTrackingRefBased/>
  <w15:docId w15:val="{2C7E770F-B5AB-4A96-91AD-A322B26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E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B0"/>
  </w:style>
  <w:style w:type="paragraph" w:styleId="Footer">
    <w:name w:val="footer"/>
    <w:basedOn w:val="Normal"/>
    <w:link w:val="FooterChar"/>
    <w:uiPriority w:val="99"/>
    <w:unhideWhenUsed/>
    <w:rsid w:val="005E7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6B0"/>
  </w:style>
  <w:style w:type="paragraph" w:styleId="ListParagraph">
    <w:name w:val="List Paragraph"/>
    <w:basedOn w:val="Normal"/>
    <w:uiPriority w:val="34"/>
    <w:qFormat/>
    <w:rsid w:val="005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3B56-1542-48F6-998F-4C00504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Fishering</dc:creator>
  <cp:keywords/>
  <dc:description/>
  <cp:lastModifiedBy>Susan Hansen</cp:lastModifiedBy>
  <cp:revision>2</cp:revision>
  <cp:lastPrinted>2020-10-14T01:04:00Z</cp:lastPrinted>
  <dcterms:created xsi:type="dcterms:W3CDTF">2021-03-31T17:26:00Z</dcterms:created>
  <dcterms:modified xsi:type="dcterms:W3CDTF">2021-03-31T17:26:00Z</dcterms:modified>
</cp:coreProperties>
</file>