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C823" w14:textId="6895EC53" w:rsidR="004F556E" w:rsidRDefault="00A03FCF">
      <w:pPr>
        <w:pStyle w:val="Title"/>
        <w:ind w:right="493"/>
      </w:pPr>
      <w:r>
        <w:t>Spruce Beetle Epidemic</w:t>
      </w:r>
      <w:r w:rsidR="00E47A8B">
        <w:t xml:space="preserve"> </w:t>
      </w:r>
      <w:r>
        <w:t xml:space="preserve">Aspen Decline Management Response </w:t>
      </w:r>
      <w:r w:rsidR="00E47A8B">
        <w:t xml:space="preserve">(SBEADMR) Project on the </w:t>
      </w:r>
      <w:r>
        <w:t>Grand Mesa, Uncompahgre, and Gunnison National Forest (GMUG)</w:t>
      </w:r>
    </w:p>
    <w:p w14:paraId="3B04AFD8" w14:textId="77777777" w:rsidR="004F556E" w:rsidRDefault="004F556E">
      <w:pPr>
        <w:pStyle w:val="BodyText"/>
        <w:rPr>
          <w:b/>
          <w:sz w:val="20"/>
        </w:rPr>
      </w:pPr>
    </w:p>
    <w:p w14:paraId="3DDAD619" w14:textId="77777777" w:rsidR="004F556E" w:rsidRDefault="00A03FCF">
      <w:pPr>
        <w:pStyle w:val="BodyText"/>
        <w:spacing w:before="11"/>
        <w:rPr>
          <w:b/>
          <w:sz w:val="22"/>
        </w:rPr>
      </w:pPr>
      <w:r>
        <w:rPr>
          <w:noProof/>
        </w:rPr>
        <w:drawing>
          <wp:anchor distT="0" distB="0" distL="0" distR="0" simplePos="0" relativeHeight="251658240" behindDoc="0" locked="0" layoutInCell="1" allowOverlap="1" wp14:anchorId="31B407F2" wp14:editId="62A1A561">
            <wp:simplePos x="0" y="0"/>
            <wp:positionH relativeFrom="page">
              <wp:posOffset>908303</wp:posOffset>
            </wp:positionH>
            <wp:positionV relativeFrom="paragraph">
              <wp:posOffset>202480</wp:posOffset>
            </wp:positionV>
            <wp:extent cx="5965953" cy="447446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65953" cy="4474464"/>
                    </a:xfrm>
                    <a:prstGeom prst="rect">
                      <a:avLst/>
                    </a:prstGeom>
                  </pic:spPr>
                </pic:pic>
              </a:graphicData>
            </a:graphic>
          </wp:anchor>
        </w:drawing>
      </w:r>
    </w:p>
    <w:p w14:paraId="0F5454C0" w14:textId="77777777" w:rsidR="004F556E" w:rsidRDefault="004F556E">
      <w:pPr>
        <w:pStyle w:val="BodyText"/>
        <w:rPr>
          <w:b/>
          <w:sz w:val="20"/>
        </w:rPr>
      </w:pPr>
    </w:p>
    <w:p w14:paraId="31441128" w14:textId="77777777" w:rsidR="004F556E" w:rsidRDefault="004F556E">
      <w:pPr>
        <w:pStyle w:val="BodyText"/>
        <w:rPr>
          <w:b/>
          <w:sz w:val="20"/>
        </w:rPr>
      </w:pPr>
    </w:p>
    <w:p w14:paraId="1B530958" w14:textId="77777777" w:rsidR="004F556E" w:rsidRDefault="004F556E">
      <w:pPr>
        <w:pStyle w:val="BodyText"/>
        <w:rPr>
          <w:b/>
          <w:sz w:val="20"/>
        </w:rPr>
      </w:pPr>
    </w:p>
    <w:p w14:paraId="5B9A3854" w14:textId="77777777" w:rsidR="004F556E" w:rsidRDefault="004F556E">
      <w:pPr>
        <w:pStyle w:val="BodyText"/>
        <w:spacing w:before="6"/>
        <w:rPr>
          <w:b/>
          <w:sz w:val="17"/>
        </w:rPr>
      </w:pPr>
    </w:p>
    <w:p w14:paraId="466FD3AB" w14:textId="2465A02B" w:rsidR="004F556E" w:rsidRDefault="00A03FCF">
      <w:pPr>
        <w:pStyle w:val="Title"/>
        <w:spacing w:before="45"/>
      </w:pPr>
      <w:r>
        <w:t>Adaptive Implementation Annual Report for</w:t>
      </w:r>
      <w:r w:rsidR="00FC2755">
        <w:t xml:space="preserve"> 202</w:t>
      </w:r>
      <w:r w:rsidR="00D123EE">
        <w:t>3</w:t>
      </w:r>
    </w:p>
    <w:p w14:paraId="78F180CF" w14:textId="6B4153C3" w:rsidR="004F556E" w:rsidRPr="00D62977" w:rsidRDefault="00D62977" w:rsidP="00D62977">
      <w:pPr>
        <w:rPr>
          <w:b/>
        </w:rPr>
      </w:pPr>
      <w:r w:rsidRPr="00D62977">
        <w:rPr>
          <w:b/>
        </w:rPr>
        <w:br w:type="page"/>
      </w:r>
      <w:r w:rsidR="00A03FCF" w:rsidRPr="00D62977">
        <w:rPr>
          <w:b/>
        </w:rPr>
        <w:lastRenderedPageBreak/>
        <w:t>Spruce Beetle Epidemic-Aspen Decline Management Response project on the Grand Mesa, Uncompahgre, and Gunnison National Forest</w:t>
      </w:r>
    </w:p>
    <w:p w14:paraId="63E78BFE" w14:textId="77777777" w:rsidR="004F556E" w:rsidRPr="00D62977" w:rsidRDefault="004F556E" w:rsidP="00D62977">
      <w:pPr>
        <w:pStyle w:val="BodyText"/>
        <w:rPr>
          <w:b/>
          <w:sz w:val="22"/>
          <w:szCs w:val="22"/>
        </w:rPr>
      </w:pPr>
    </w:p>
    <w:p w14:paraId="44F286C9" w14:textId="487287F2" w:rsidR="004F556E" w:rsidRPr="00D62977" w:rsidRDefault="00A03FCF" w:rsidP="00D62977">
      <w:pPr>
        <w:rPr>
          <w:b/>
        </w:rPr>
      </w:pPr>
      <w:r w:rsidRPr="00D62977">
        <w:rPr>
          <w:b/>
        </w:rPr>
        <w:t>Adaptive Implementation Annual Report for</w:t>
      </w:r>
      <w:r w:rsidR="005B6068" w:rsidRPr="00D62977">
        <w:rPr>
          <w:b/>
        </w:rPr>
        <w:t xml:space="preserve"> 202</w:t>
      </w:r>
      <w:r w:rsidR="00D123EE">
        <w:rPr>
          <w:b/>
        </w:rPr>
        <w:t>3</w:t>
      </w:r>
    </w:p>
    <w:p w14:paraId="27299BFF" w14:textId="77777777" w:rsidR="004F556E" w:rsidRPr="00D62977" w:rsidRDefault="004F556E" w:rsidP="00D62977">
      <w:pPr>
        <w:pStyle w:val="BodyText"/>
        <w:rPr>
          <w:b/>
          <w:sz w:val="22"/>
          <w:szCs w:val="22"/>
        </w:rPr>
      </w:pPr>
    </w:p>
    <w:p w14:paraId="02524A5A" w14:textId="77777777" w:rsidR="004F556E" w:rsidRPr="00D62977" w:rsidRDefault="00A03FCF" w:rsidP="00D62977">
      <w:pPr>
        <w:pStyle w:val="Heading1"/>
        <w:ind w:left="0"/>
        <w:rPr>
          <w:sz w:val="22"/>
          <w:szCs w:val="22"/>
        </w:rPr>
      </w:pPr>
      <w:r w:rsidRPr="00D62977">
        <w:rPr>
          <w:sz w:val="22"/>
          <w:szCs w:val="22"/>
        </w:rPr>
        <w:t>Introduction and background</w:t>
      </w:r>
    </w:p>
    <w:p w14:paraId="29FB0177" w14:textId="77777777" w:rsidR="004F556E" w:rsidRPr="00D62977" w:rsidRDefault="004F556E" w:rsidP="00D62977">
      <w:pPr>
        <w:pStyle w:val="BodyText"/>
        <w:rPr>
          <w:b/>
          <w:i/>
          <w:sz w:val="22"/>
          <w:szCs w:val="22"/>
        </w:rPr>
      </w:pPr>
    </w:p>
    <w:p w14:paraId="1D73F080" w14:textId="77777777" w:rsidR="004F556E" w:rsidRPr="00D62977" w:rsidRDefault="00A03FCF" w:rsidP="00D62977">
      <w:pPr>
        <w:pStyle w:val="BodyText"/>
        <w:ind w:right="176"/>
        <w:rPr>
          <w:sz w:val="22"/>
          <w:szCs w:val="22"/>
        </w:rPr>
      </w:pPr>
      <w:r w:rsidRPr="00D62977">
        <w:rPr>
          <w:sz w:val="22"/>
          <w:szCs w:val="22"/>
        </w:rPr>
        <w:t>The Record of Decision (ROD) accompanying the Final Environmental Impact Statement (FEIS) for the Spruce Beetle Epidemic-Aspen Decline Management Response (SBEADMR) project commits the US Forest Service’s Grand Mesa, Uncompahgre, and Gunnison National Forest (GMUG) to utilize an adaptive implementation process through continuous public involvement:</w:t>
      </w:r>
    </w:p>
    <w:p w14:paraId="03DE26CF" w14:textId="77777777" w:rsidR="004F556E" w:rsidRPr="00D62977" w:rsidRDefault="004F556E" w:rsidP="00D62977">
      <w:pPr>
        <w:pStyle w:val="BodyText"/>
        <w:rPr>
          <w:sz w:val="22"/>
          <w:szCs w:val="22"/>
        </w:rPr>
      </w:pPr>
    </w:p>
    <w:p w14:paraId="7C839189" w14:textId="77777777" w:rsidR="004F556E" w:rsidRPr="00D62977" w:rsidRDefault="00A03FCF" w:rsidP="00D62977">
      <w:pPr>
        <w:pStyle w:val="BodyText"/>
        <w:ind w:left="120" w:right="177"/>
        <w:rPr>
          <w:sz w:val="22"/>
          <w:szCs w:val="22"/>
        </w:rPr>
      </w:pPr>
      <w:r w:rsidRPr="00D62977">
        <w:rPr>
          <w:sz w:val="22"/>
          <w:szCs w:val="22"/>
        </w:rPr>
        <w:t>“</w:t>
      </w:r>
      <w:r w:rsidRPr="00D62977">
        <w:rPr>
          <w:i/>
          <w:iCs/>
          <w:sz w:val="22"/>
          <w:szCs w:val="22"/>
        </w:rPr>
        <w:t>The Forest Service cannot significantly alter the current infestation or rate of decline in spruce stands, but management of associated hazards, economic opportunities, and resilience, as detailed in the purpose and need, are the core of this project. Nor can it accurately project the ultimate location and scale of eventual beetle activity. To achieve the purpose and need in the context of rapidly changing conditions in spruce and aspen stands across the landscape, SBEADMR relies on an adaptive implementation framework to prioritize the sequence and determine precise layout of successive treatments within the analyzed PTAs. Treatment design, incorporating additional monitoring questions, reviewing the effects of previous treatments, and adjusting management towards desired conditions and away from undesirable conditions would also be conducted via the adaptive implementation approach</w:t>
      </w:r>
      <w:r w:rsidRPr="00D62977">
        <w:rPr>
          <w:sz w:val="22"/>
          <w:szCs w:val="22"/>
        </w:rPr>
        <w:t>” (SBEADMR FEIS, Chapter 2, pp.</w:t>
      </w:r>
      <w:r w:rsidRPr="00D62977">
        <w:rPr>
          <w:spacing w:val="-1"/>
          <w:sz w:val="22"/>
          <w:szCs w:val="22"/>
        </w:rPr>
        <w:t xml:space="preserve"> </w:t>
      </w:r>
      <w:r w:rsidRPr="00D62977">
        <w:rPr>
          <w:sz w:val="22"/>
          <w:szCs w:val="22"/>
        </w:rPr>
        <w:t>36-37).</w:t>
      </w:r>
    </w:p>
    <w:p w14:paraId="5E7339C4" w14:textId="77777777" w:rsidR="004F556E" w:rsidRPr="00D62977" w:rsidRDefault="004F556E" w:rsidP="00D62977">
      <w:pPr>
        <w:pStyle w:val="BodyText"/>
        <w:rPr>
          <w:sz w:val="22"/>
          <w:szCs w:val="22"/>
        </w:rPr>
      </w:pPr>
    </w:p>
    <w:p w14:paraId="057BFDEE" w14:textId="77777777" w:rsidR="004F556E" w:rsidRPr="00D62977" w:rsidRDefault="00A03FCF" w:rsidP="00D62977">
      <w:pPr>
        <w:pStyle w:val="Heading1"/>
        <w:ind w:left="0"/>
        <w:rPr>
          <w:sz w:val="22"/>
          <w:szCs w:val="22"/>
        </w:rPr>
      </w:pPr>
      <w:r w:rsidRPr="00D62977">
        <w:rPr>
          <w:sz w:val="22"/>
          <w:szCs w:val="22"/>
        </w:rPr>
        <w:t>Why this</w:t>
      </w:r>
      <w:r w:rsidRPr="00D62977">
        <w:rPr>
          <w:spacing w:val="-8"/>
          <w:sz w:val="22"/>
          <w:szCs w:val="22"/>
        </w:rPr>
        <w:t xml:space="preserve"> </w:t>
      </w:r>
      <w:r w:rsidRPr="00D62977">
        <w:rPr>
          <w:sz w:val="22"/>
          <w:szCs w:val="22"/>
        </w:rPr>
        <w:t>document?</w:t>
      </w:r>
    </w:p>
    <w:p w14:paraId="00C95241" w14:textId="77777777" w:rsidR="004F556E" w:rsidRPr="00D62977" w:rsidRDefault="004F556E" w:rsidP="00D62977">
      <w:pPr>
        <w:pStyle w:val="BodyText"/>
        <w:rPr>
          <w:b/>
          <w:i/>
          <w:sz w:val="22"/>
          <w:szCs w:val="22"/>
        </w:rPr>
      </w:pPr>
    </w:p>
    <w:p w14:paraId="46654355" w14:textId="77777777" w:rsidR="004F556E" w:rsidRPr="00D62977" w:rsidRDefault="00A03FCF" w:rsidP="00D62977">
      <w:pPr>
        <w:pStyle w:val="BodyText"/>
        <w:ind w:right="485"/>
        <w:rPr>
          <w:sz w:val="22"/>
          <w:szCs w:val="22"/>
        </w:rPr>
      </w:pPr>
      <w:r w:rsidRPr="00D62977">
        <w:rPr>
          <w:sz w:val="22"/>
          <w:szCs w:val="22"/>
        </w:rPr>
        <w:t>The purpose of this report is to serve as a public record of the annual adaptive management decisions for the SBEADMR project pursuant to the FEIS and ROD. The document explicitly defines the linkages between monitoring and other applied research results, the public engagement process, and the adaptive management decisions made by the GMUG National Forest.</w:t>
      </w:r>
    </w:p>
    <w:p w14:paraId="35D4E4CE" w14:textId="77777777" w:rsidR="004F556E" w:rsidRPr="00D62977" w:rsidRDefault="004F556E" w:rsidP="00D62977">
      <w:pPr>
        <w:pStyle w:val="BodyText"/>
        <w:rPr>
          <w:sz w:val="22"/>
          <w:szCs w:val="22"/>
        </w:rPr>
      </w:pPr>
    </w:p>
    <w:p w14:paraId="435A785F" w14:textId="77777777" w:rsidR="004F556E" w:rsidRPr="00D62977" w:rsidRDefault="00A03FCF" w:rsidP="00D62977">
      <w:pPr>
        <w:pStyle w:val="Heading1"/>
        <w:ind w:left="0"/>
        <w:rPr>
          <w:sz w:val="22"/>
          <w:szCs w:val="22"/>
        </w:rPr>
      </w:pPr>
      <w:r w:rsidRPr="00D62977">
        <w:rPr>
          <w:sz w:val="22"/>
          <w:szCs w:val="22"/>
        </w:rPr>
        <w:t>Who is involved?</w:t>
      </w:r>
    </w:p>
    <w:p w14:paraId="00C89D92" w14:textId="77777777" w:rsidR="004F556E" w:rsidRPr="00D62977" w:rsidRDefault="004F556E" w:rsidP="00D62977">
      <w:pPr>
        <w:pStyle w:val="BodyText"/>
        <w:rPr>
          <w:b/>
          <w:i/>
          <w:sz w:val="22"/>
          <w:szCs w:val="22"/>
        </w:rPr>
      </w:pPr>
    </w:p>
    <w:p w14:paraId="136A0BBF" w14:textId="1AFD2EBB" w:rsidR="00D62977" w:rsidRDefault="00A03FCF" w:rsidP="00D62977">
      <w:pPr>
        <w:pStyle w:val="BodyText"/>
        <w:ind w:right="108"/>
        <w:rPr>
          <w:sz w:val="22"/>
          <w:szCs w:val="22"/>
        </w:rPr>
      </w:pPr>
      <w:r w:rsidRPr="00D62977">
        <w:rPr>
          <w:sz w:val="22"/>
          <w:szCs w:val="22"/>
        </w:rPr>
        <w:t xml:space="preserve">The adaptive implementation approach involves </w:t>
      </w:r>
      <w:r w:rsidR="005700DC">
        <w:rPr>
          <w:sz w:val="22"/>
          <w:szCs w:val="22"/>
        </w:rPr>
        <w:t>three</w:t>
      </w:r>
      <w:r w:rsidRPr="00D62977">
        <w:rPr>
          <w:sz w:val="22"/>
          <w:szCs w:val="22"/>
        </w:rPr>
        <w:t xml:space="preserve"> groups: 1) the Adaptive Management Group (AMG) </w:t>
      </w:r>
      <w:r w:rsidR="006B50FB" w:rsidRPr="00D62977">
        <w:rPr>
          <w:sz w:val="22"/>
          <w:szCs w:val="22"/>
        </w:rPr>
        <w:t xml:space="preserve">originally </w:t>
      </w:r>
      <w:r w:rsidRPr="00D62977">
        <w:rPr>
          <w:sz w:val="22"/>
          <w:szCs w:val="22"/>
        </w:rPr>
        <w:t>convened by the Public Lands Partnership; 2) a “Science Team” composed of researchers from Colorado Parks and Wildlife, Colorado State University, the US Forest Service’s Rocky Mountain Research Station, and Western Colorado University; and 3) the GMUG Forest Leadership Team (FLT) composed of US Forest Service line officers vested with decision authority (e.g., forest supervisor, deputy forest supervisor, district rangers) and resource specialists.</w:t>
      </w:r>
    </w:p>
    <w:p w14:paraId="592B980B" w14:textId="77777777" w:rsidR="00D62977" w:rsidRDefault="00D62977" w:rsidP="00D62977">
      <w:pPr>
        <w:pStyle w:val="BodyText"/>
        <w:ind w:right="108"/>
        <w:rPr>
          <w:sz w:val="22"/>
          <w:szCs w:val="22"/>
        </w:rPr>
      </w:pPr>
    </w:p>
    <w:p w14:paraId="2BB6D171" w14:textId="665154B5" w:rsidR="004F556E" w:rsidRPr="00D62977" w:rsidRDefault="00A03FCF" w:rsidP="00D62977">
      <w:pPr>
        <w:pStyle w:val="BodyText"/>
        <w:ind w:right="108"/>
        <w:rPr>
          <w:sz w:val="22"/>
          <w:szCs w:val="22"/>
        </w:rPr>
      </w:pPr>
      <w:r w:rsidRPr="00D62977">
        <w:rPr>
          <w:sz w:val="22"/>
          <w:szCs w:val="22"/>
        </w:rPr>
        <w:t>The AMG’s purpose is to assist the GMUG National Forest in applying the adaptive management framework over a multi-year timeframe in accordance with the SBEADMR FEIS and ROD (SBEADMR Adaptive Management Group Operations Manual, version 1, June 2017). The AMG is composed of individuals representing a broad diversity of local and regional interests and perspectives regarding the SBEADMR project’s effects on ecological, economic, and social values. The AMG serves as the primary convener and coordinator of continuous public engagement</w:t>
      </w:r>
      <w:r w:rsidR="006B50FB" w:rsidRPr="00D62977">
        <w:rPr>
          <w:sz w:val="22"/>
          <w:szCs w:val="22"/>
        </w:rPr>
        <w:t>.</w:t>
      </w:r>
    </w:p>
    <w:p w14:paraId="1F8DA5B5" w14:textId="77777777" w:rsidR="004F556E" w:rsidRPr="00D62977" w:rsidRDefault="004F556E" w:rsidP="00D62977">
      <w:pPr>
        <w:pStyle w:val="BodyText"/>
        <w:rPr>
          <w:sz w:val="22"/>
          <w:szCs w:val="22"/>
        </w:rPr>
      </w:pPr>
    </w:p>
    <w:p w14:paraId="181AD970" w14:textId="3033649F" w:rsidR="004F556E" w:rsidRPr="00D62977" w:rsidRDefault="00A03FCF" w:rsidP="00D62977">
      <w:pPr>
        <w:pStyle w:val="BodyText"/>
        <w:ind w:right="248"/>
        <w:rPr>
          <w:sz w:val="22"/>
          <w:szCs w:val="22"/>
        </w:rPr>
      </w:pPr>
      <w:r w:rsidRPr="00D62977">
        <w:rPr>
          <w:sz w:val="22"/>
          <w:szCs w:val="22"/>
        </w:rPr>
        <w:t xml:space="preserve">The Science Team’s activities are supported by funds from the SBEADMR project through cooperative agreements between the GMUG and the team member’s institutions. The Science Team’s monitoring </w:t>
      </w:r>
      <w:r w:rsidRPr="00D62977">
        <w:rPr>
          <w:sz w:val="22"/>
          <w:szCs w:val="22"/>
        </w:rPr>
        <w:lastRenderedPageBreak/>
        <w:t>and applied research activities are based on: SBEADMR goals and desired conditions described in the FEIS and ROD, “Decision Triggers” described in Table 6, p. 44-48 in the FEIS, and additional objectives and questions defined by public stakeholders. Data collection, analysis, and reporting occurs annually.</w:t>
      </w:r>
    </w:p>
    <w:p w14:paraId="59145881" w14:textId="77777777" w:rsidR="004F556E" w:rsidRPr="00D62977" w:rsidRDefault="004F556E" w:rsidP="00D62977">
      <w:pPr>
        <w:pStyle w:val="BodyText"/>
        <w:rPr>
          <w:sz w:val="22"/>
          <w:szCs w:val="22"/>
        </w:rPr>
      </w:pPr>
    </w:p>
    <w:p w14:paraId="7C943D41" w14:textId="77777777" w:rsidR="004F556E" w:rsidRPr="00D62977" w:rsidRDefault="00A03FCF" w:rsidP="00D62977">
      <w:pPr>
        <w:pStyle w:val="BodyText"/>
        <w:ind w:right="222"/>
        <w:rPr>
          <w:sz w:val="22"/>
          <w:szCs w:val="22"/>
        </w:rPr>
      </w:pPr>
      <w:r w:rsidRPr="00D62977">
        <w:rPr>
          <w:sz w:val="22"/>
          <w:szCs w:val="22"/>
        </w:rPr>
        <w:t>GMUG FLT makes final decisions about changes in SBEADMR implementation utilizing a “Management Review” process. The Management Review draws on annual AMG field reviews, annual FLT field reviews with and input from GMUG resource specialists, results from the Science Team and other relevant research, and input from the AMG based on results from the Science Team and other relevant research.</w:t>
      </w:r>
    </w:p>
    <w:p w14:paraId="5DFED222" w14:textId="77777777" w:rsidR="004F556E" w:rsidRDefault="004F556E">
      <w:pPr>
        <w:sectPr w:rsidR="004F556E">
          <w:headerReference w:type="even" r:id="rId9"/>
          <w:headerReference w:type="default" r:id="rId10"/>
          <w:footerReference w:type="even" r:id="rId11"/>
          <w:footerReference w:type="default" r:id="rId12"/>
          <w:headerReference w:type="first" r:id="rId13"/>
          <w:footerReference w:type="first" r:id="rId14"/>
          <w:pgSz w:w="12240" w:h="15840"/>
          <w:pgMar w:top="1400" w:right="1320" w:bottom="1200" w:left="1320" w:header="0" w:footer="1017" w:gutter="0"/>
          <w:cols w:space="720"/>
        </w:sectPr>
      </w:pPr>
    </w:p>
    <w:p w14:paraId="13D0555F" w14:textId="77777777" w:rsidR="004F556E" w:rsidRPr="00AC1BCC" w:rsidRDefault="00A03FCF" w:rsidP="00B27910">
      <w:pPr>
        <w:pStyle w:val="Heading1"/>
        <w:ind w:left="0"/>
      </w:pPr>
      <w:r w:rsidRPr="00AC1BCC">
        <w:lastRenderedPageBreak/>
        <w:t>What happened this year?</w:t>
      </w:r>
    </w:p>
    <w:p w14:paraId="3A67CA05" w14:textId="77777777" w:rsidR="004F556E" w:rsidRDefault="004F556E">
      <w:pPr>
        <w:pStyle w:val="BodyText"/>
        <w:spacing w:before="11"/>
        <w:rPr>
          <w:b/>
          <w:i/>
          <w:sz w:val="20"/>
        </w:rPr>
      </w:pPr>
    </w:p>
    <w:p w14:paraId="3ABDF79C" w14:textId="51955075" w:rsidR="004F556E" w:rsidRDefault="00A03FCF" w:rsidP="00D62977">
      <w:pPr>
        <w:rPr>
          <w:sz w:val="21"/>
        </w:rPr>
      </w:pPr>
      <w:r>
        <w:rPr>
          <w:sz w:val="21"/>
        </w:rPr>
        <w:t xml:space="preserve">This table displays linkages between Goals or Decision Triggers identified in the SBEADMR Record of Decision (ROD) or Final Environmental Impact Statement (FEIS), </w:t>
      </w:r>
      <w:r w:rsidR="00374290">
        <w:rPr>
          <w:sz w:val="21"/>
        </w:rPr>
        <w:t xml:space="preserve">Science Team and GMUG staff </w:t>
      </w:r>
      <w:r>
        <w:rPr>
          <w:sz w:val="21"/>
        </w:rPr>
        <w:t>monitoring activities and results, the SBEADMR Adaptive Management Group’s (AMG) interpretations and recommendations, and the GMUG Forest Leadership Team’s Management Review conclusions for</w:t>
      </w:r>
      <w:r w:rsidR="005B6068">
        <w:rPr>
          <w:sz w:val="21"/>
        </w:rPr>
        <w:t xml:space="preserve"> </w:t>
      </w:r>
      <w:proofErr w:type="gramStart"/>
      <w:r w:rsidR="005B6068">
        <w:rPr>
          <w:sz w:val="21"/>
        </w:rPr>
        <w:t>202</w:t>
      </w:r>
      <w:r w:rsidR="00F9525F">
        <w:rPr>
          <w:sz w:val="21"/>
        </w:rPr>
        <w:t>3</w:t>
      </w:r>
      <w:proofErr w:type="gramEnd"/>
    </w:p>
    <w:p w14:paraId="24D0F4B0" w14:textId="77777777" w:rsidR="004F556E" w:rsidRDefault="004F556E">
      <w:pPr>
        <w:pStyle w:val="BodyText"/>
        <w:rPr>
          <w:sz w:val="20"/>
        </w:rPr>
      </w:pPr>
    </w:p>
    <w:p w14:paraId="7F47D5AE" w14:textId="3DCD9C39" w:rsidR="004F556E" w:rsidRPr="001D6A25" w:rsidRDefault="001D6A25" w:rsidP="00D62977">
      <w:pPr>
        <w:pStyle w:val="BodyText"/>
        <w:rPr>
          <w:i/>
          <w:iCs/>
          <w:sz w:val="22"/>
        </w:rPr>
      </w:pPr>
      <w:r w:rsidRPr="001D6A25">
        <w:rPr>
          <w:i/>
          <w:iCs/>
          <w:sz w:val="22"/>
        </w:rPr>
        <w:t xml:space="preserve">Table 1. </w:t>
      </w:r>
      <w:r w:rsidRPr="001D6A25">
        <w:rPr>
          <w:rFonts w:asciiTheme="minorHAnsi" w:hAnsiTheme="minorHAnsi" w:cstheme="minorHAnsi"/>
          <w:i/>
          <w:iCs/>
          <w:sz w:val="20"/>
          <w:szCs w:val="20"/>
        </w:rPr>
        <w:t>Goals and Decision Triggers from the SBEADMR Final Environmental Impact Statement and Record of Decision</w:t>
      </w:r>
    </w:p>
    <w:tbl>
      <w:tblPr>
        <w:tblW w:w="18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bottom w:w="29" w:type="dxa"/>
          <w:right w:w="29" w:type="dxa"/>
        </w:tblCellMar>
        <w:tblLook w:val="01E0" w:firstRow="1" w:lastRow="1" w:firstColumn="1" w:lastColumn="1" w:noHBand="0" w:noVBand="0"/>
      </w:tblPr>
      <w:tblGrid>
        <w:gridCol w:w="2520"/>
        <w:gridCol w:w="1620"/>
        <w:gridCol w:w="6930"/>
        <w:gridCol w:w="2070"/>
        <w:gridCol w:w="1980"/>
        <w:gridCol w:w="3690"/>
      </w:tblGrid>
      <w:tr w:rsidR="0073536E" w:rsidRPr="000B2036" w14:paraId="7266FB00" w14:textId="77777777" w:rsidTr="505C20AD">
        <w:trPr>
          <w:trHeight w:val="521"/>
          <w:tblHeader/>
        </w:trPr>
        <w:tc>
          <w:tcPr>
            <w:tcW w:w="2520" w:type="dxa"/>
            <w:shd w:val="clear" w:color="auto" w:fill="D9D9D9" w:themeFill="background1" w:themeFillShade="D9"/>
          </w:tcPr>
          <w:p w14:paraId="01DD7AF0" w14:textId="77777777" w:rsidR="004F556E" w:rsidRPr="000B2036" w:rsidRDefault="00A03FCF" w:rsidP="00597C5E">
            <w:pPr>
              <w:pStyle w:val="TableParagraph"/>
              <w:spacing w:line="253" w:lineRule="exact"/>
              <w:rPr>
                <w:rFonts w:asciiTheme="minorHAnsi" w:hAnsiTheme="minorHAnsi" w:cstheme="minorHAnsi"/>
                <w:b/>
                <w:sz w:val="20"/>
                <w:szCs w:val="20"/>
              </w:rPr>
            </w:pPr>
            <w:r w:rsidRPr="000B2036">
              <w:rPr>
                <w:rFonts w:asciiTheme="minorHAnsi" w:hAnsiTheme="minorHAnsi" w:cstheme="minorHAnsi"/>
                <w:b/>
                <w:sz w:val="20"/>
                <w:szCs w:val="20"/>
              </w:rPr>
              <w:t>Goal or Decision Trigger</w:t>
            </w:r>
          </w:p>
        </w:tc>
        <w:tc>
          <w:tcPr>
            <w:tcW w:w="1620" w:type="dxa"/>
            <w:shd w:val="clear" w:color="auto" w:fill="D9D9D9" w:themeFill="background1" w:themeFillShade="D9"/>
          </w:tcPr>
          <w:p w14:paraId="28C1ED14" w14:textId="48F25A2F" w:rsidR="004F556E" w:rsidRPr="000B2036" w:rsidRDefault="000B2036" w:rsidP="00597C5E">
            <w:pPr>
              <w:pStyle w:val="TableParagraph"/>
              <w:rPr>
                <w:rFonts w:asciiTheme="minorHAnsi" w:hAnsiTheme="minorHAnsi" w:cstheme="minorHAnsi"/>
                <w:b/>
                <w:sz w:val="20"/>
                <w:szCs w:val="20"/>
              </w:rPr>
            </w:pPr>
            <w:r>
              <w:rPr>
                <w:rFonts w:asciiTheme="minorHAnsi" w:hAnsiTheme="minorHAnsi" w:cstheme="minorHAnsi"/>
                <w:b/>
                <w:sz w:val="20"/>
                <w:szCs w:val="20"/>
              </w:rPr>
              <w:t>Monitoring</w:t>
            </w:r>
            <w:r w:rsidR="002F686D">
              <w:rPr>
                <w:rFonts w:asciiTheme="minorHAnsi" w:hAnsiTheme="minorHAnsi" w:cstheme="minorHAnsi"/>
                <w:b/>
                <w:sz w:val="20"/>
                <w:szCs w:val="20"/>
              </w:rPr>
              <w:t xml:space="preserve"> </w:t>
            </w:r>
            <w:r>
              <w:rPr>
                <w:rFonts w:asciiTheme="minorHAnsi" w:hAnsiTheme="minorHAnsi" w:cstheme="minorHAnsi"/>
                <w:b/>
                <w:sz w:val="20"/>
                <w:szCs w:val="20"/>
              </w:rPr>
              <w:t>Actors and Activities</w:t>
            </w:r>
          </w:p>
        </w:tc>
        <w:tc>
          <w:tcPr>
            <w:tcW w:w="6930" w:type="dxa"/>
            <w:shd w:val="clear" w:color="auto" w:fill="D9D9D9" w:themeFill="background1" w:themeFillShade="D9"/>
          </w:tcPr>
          <w:p w14:paraId="32B0F255" w14:textId="147A96C4" w:rsidR="004F556E" w:rsidRPr="000B2036" w:rsidRDefault="00A03FCF" w:rsidP="00597C5E">
            <w:pPr>
              <w:pStyle w:val="TableParagraph"/>
              <w:rPr>
                <w:rFonts w:asciiTheme="minorHAnsi" w:hAnsiTheme="minorHAnsi" w:cstheme="minorHAnsi"/>
                <w:b/>
                <w:sz w:val="20"/>
                <w:szCs w:val="20"/>
              </w:rPr>
            </w:pPr>
            <w:r w:rsidRPr="000B2036">
              <w:rPr>
                <w:rFonts w:asciiTheme="minorHAnsi" w:hAnsiTheme="minorHAnsi" w:cstheme="minorHAnsi"/>
                <w:b/>
                <w:sz w:val="20"/>
                <w:szCs w:val="20"/>
              </w:rPr>
              <w:t xml:space="preserve">Results and Interpretation </w:t>
            </w:r>
            <w:r w:rsidR="000B2036" w:rsidRPr="000B2036">
              <w:rPr>
                <w:rFonts w:asciiTheme="minorHAnsi" w:hAnsiTheme="minorHAnsi" w:cstheme="minorHAnsi"/>
                <w:b/>
                <w:sz w:val="20"/>
                <w:szCs w:val="20"/>
              </w:rPr>
              <w:t>t</w:t>
            </w:r>
            <w:r w:rsidRPr="000B2036">
              <w:rPr>
                <w:rFonts w:asciiTheme="minorHAnsi" w:hAnsiTheme="minorHAnsi" w:cstheme="minorHAnsi"/>
                <w:b/>
                <w:sz w:val="20"/>
                <w:szCs w:val="20"/>
              </w:rPr>
              <w:t>o Date</w:t>
            </w:r>
          </w:p>
        </w:tc>
        <w:tc>
          <w:tcPr>
            <w:tcW w:w="2070" w:type="dxa"/>
            <w:shd w:val="clear" w:color="auto" w:fill="D9D9D9" w:themeFill="background1" w:themeFillShade="D9"/>
          </w:tcPr>
          <w:p w14:paraId="3CEB490B" w14:textId="00DB92E8" w:rsidR="004F556E" w:rsidRPr="000B2036" w:rsidRDefault="002E592F" w:rsidP="00597C5E">
            <w:pPr>
              <w:pStyle w:val="TableParagraph"/>
              <w:rPr>
                <w:rFonts w:asciiTheme="minorHAnsi" w:hAnsiTheme="minorHAnsi" w:cstheme="minorHAnsi"/>
                <w:b/>
                <w:sz w:val="20"/>
                <w:szCs w:val="20"/>
              </w:rPr>
            </w:pPr>
            <w:r>
              <w:rPr>
                <w:rFonts w:asciiTheme="minorHAnsi" w:hAnsiTheme="minorHAnsi" w:cstheme="minorHAnsi"/>
                <w:b/>
                <w:sz w:val="20"/>
                <w:szCs w:val="20"/>
              </w:rPr>
              <w:t>AMG</w:t>
            </w:r>
            <w:r w:rsidR="00A03FCF" w:rsidRPr="000B2036">
              <w:rPr>
                <w:rFonts w:asciiTheme="minorHAnsi" w:hAnsiTheme="minorHAnsi" w:cstheme="minorHAnsi"/>
                <w:b/>
                <w:sz w:val="20"/>
                <w:szCs w:val="20"/>
              </w:rPr>
              <w:t xml:space="preserve"> Recommendation</w:t>
            </w:r>
          </w:p>
        </w:tc>
        <w:tc>
          <w:tcPr>
            <w:tcW w:w="1980" w:type="dxa"/>
            <w:shd w:val="clear" w:color="auto" w:fill="D9D9D9" w:themeFill="background1" w:themeFillShade="D9"/>
          </w:tcPr>
          <w:p w14:paraId="295DFB2C" w14:textId="6AF61830" w:rsidR="004F556E" w:rsidRPr="000B2036" w:rsidRDefault="005B4C41" w:rsidP="00597C5E">
            <w:pPr>
              <w:pStyle w:val="TableParagraph"/>
              <w:rPr>
                <w:rFonts w:asciiTheme="minorHAnsi" w:hAnsiTheme="minorHAnsi" w:cstheme="minorHAnsi"/>
                <w:b/>
                <w:sz w:val="20"/>
                <w:szCs w:val="20"/>
              </w:rPr>
            </w:pPr>
            <w:r w:rsidRPr="000B2036">
              <w:rPr>
                <w:rFonts w:asciiTheme="minorHAnsi" w:hAnsiTheme="minorHAnsi" w:cstheme="minorHAnsi"/>
                <w:b/>
                <w:sz w:val="20"/>
                <w:szCs w:val="20"/>
              </w:rPr>
              <w:t xml:space="preserve">FLT </w:t>
            </w:r>
            <w:r w:rsidR="00A03FCF" w:rsidRPr="000B2036">
              <w:rPr>
                <w:rFonts w:asciiTheme="minorHAnsi" w:hAnsiTheme="minorHAnsi" w:cstheme="minorHAnsi"/>
                <w:b/>
                <w:sz w:val="20"/>
                <w:szCs w:val="20"/>
              </w:rPr>
              <w:t>Management</w:t>
            </w:r>
            <w:r w:rsidR="000B2036" w:rsidRPr="000B2036">
              <w:rPr>
                <w:rFonts w:asciiTheme="minorHAnsi" w:hAnsiTheme="minorHAnsi" w:cstheme="minorHAnsi"/>
                <w:b/>
                <w:sz w:val="20"/>
                <w:szCs w:val="20"/>
              </w:rPr>
              <w:t xml:space="preserve"> </w:t>
            </w:r>
            <w:r w:rsidR="00A03FCF" w:rsidRPr="000B2036">
              <w:rPr>
                <w:rFonts w:asciiTheme="minorHAnsi" w:hAnsiTheme="minorHAnsi" w:cstheme="minorHAnsi"/>
                <w:b/>
                <w:sz w:val="20"/>
                <w:szCs w:val="20"/>
              </w:rPr>
              <w:t>Review Conclusion</w:t>
            </w:r>
          </w:p>
        </w:tc>
        <w:tc>
          <w:tcPr>
            <w:tcW w:w="3690" w:type="dxa"/>
            <w:shd w:val="clear" w:color="auto" w:fill="D9D9D9" w:themeFill="background1" w:themeFillShade="D9"/>
          </w:tcPr>
          <w:p w14:paraId="1579881A" w14:textId="77777777" w:rsidR="004F556E" w:rsidRPr="000B2036" w:rsidRDefault="00A03FCF" w:rsidP="00597C5E">
            <w:pPr>
              <w:pStyle w:val="TableParagraph"/>
              <w:spacing w:line="253" w:lineRule="exact"/>
              <w:rPr>
                <w:rFonts w:asciiTheme="minorHAnsi" w:hAnsiTheme="minorHAnsi" w:cstheme="minorHAnsi"/>
                <w:b/>
                <w:sz w:val="20"/>
                <w:szCs w:val="20"/>
              </w:rPr>
            </w:pPr>
            <w:r w:rsidRPr="000B2036">
              <w:rPr>
                <w:rFonts w:asciiTheme="minorHAnsi" w:hAnsiTheme="minorHAnsi" w:cstheme="minorHAnsi"/>
                <w:b/>
                <w:sz w:val="20"/>
                <w:szCs w:val="20"/>
              </w:rPr>
              <w:t>Comments</w:t>
            </w:r>
          </w:p>
        </w:tc>
      </w:tr>
      <w:tr w:rsidR="007D2E6F" w:rsidRPr="000B2036" w14:paraId="36AA8A6E" w14:textId="77777777" w:rsidTr="505C20AD">
        <w:trPr>
          <w:trHeight w:val="2049"/>
        </w:trPr>
        <w:tc>
          <w:tcPr>
            <w:tcW w:w="2520" w:type="dxa"/>
          </w:tcPr>
          <w:p w14:paraId="32EAA074" w14:textId="77777777" w:rsidR="007D2E6F" w:rsidRDefault="007D2E6F" w:rsidP="007D2E6F">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More locations from which firefighters can safely and effectively manage </w:t>
            </w:r>
            <w:proofErr w:type="gramStart"/>
            <w:r w:rsidRPr="000B2036">
              <w:rPr>
                <w:rFonts w:asciiTheme="minorHAnsi" w:hAnsiTheme="minorHAnsi" w:cstheme="minorHAnsi"/>
                <w:sz w:val="20"/>
                <w:szCs w:val="20"/>
              </w:rPr>
              <w:t>fires</w:t>
            </w:r>
            <w:proofErr w:type="gramEnd"/>
            <w:r w:rsidRPr="000B2036">
              <w:rPr>
                <w:rFonts w:asciiTheme="minorHAnsi" w:hAnsiTheme="minorHAnsi" w:cstheme="minorHAnsi"/>
                <w:sz w:val="20"/>
                <w:szCs w:val="20"/>
              </w:rPr>
              <w:t xml:space="preserve"> </w:t>
            </w:r>
          </w:p>
          <w:p w14:paraId="58E2C023" w14:textId="6F87418D" w:rsidR="007D2E6F" w:rsidRPr="000B2036" w:rsidRDefault="007D2E6F" w:rsidP="007D2E6F">
            <w:pPr>
              <w:pStyle w:val="TableParagraph"/>
              <w:rPr>
                <w:rFonts w:asciiTheme="minorHAnsi" w:hAnsiTheme="minorHAnsi" w:cstheme="minorHAnsi"/>
                <w:sz w:val="20"/>
                <w:szCs w:val="20"/>
              </w:rPr>
            </w:pPr>
            <w:r w:rsidRPr="00BF032C">
              <w:rPr>
                <w:rFonts w:asciiTheme="minorHAnsi" w:hAnsiTheme="minorHAnsi" w:cstheme="minorHAnsi"/>
                <w:sz w:val="16"/>
                <w:szCs w:val="16"/>
              </w:rPr>
              <w:t>(Public Safety goal #1, ROD, p. 4)</w:t>
            </w:r>
          </w:p>
        </w:tc>
        <w:tc>
          <w:tcPr>
            <w:tcW w:w="1620" w:type="dxa"/>
          </w:tcPr>
          <w:p w14:paraId="0DF1D70F" w14:textId="014CFC51" w:rsidR="007D2E6F" w:rsidRPr="000B2036" w:rsidRDefault="007D2E6F" w:rsidP="007D2E6F">
            <w:pPr>
              <w:pStyle w:val="TableParagraph"/>
              <w:rPr>
                <w:rFonts w:asciiTheme="minorHAnsi" w:hAnsiTheme="minorHAnsi" w:cstheme="minorHAnsi"/>
                <w:sz w:val="20"/>
                <w:szCs w:val="20"/>
              </w:rPr>
            </w:pPr>
            <w:r w:rsidRPr="000B2036">
              <w:rPr>
                <w:rFonts w:asciiTheme="minorHAnsi" w:hAnsiTheme="minorHAnsi" w:cstheme="minorHAnsi"/>
                <w:sz w:val="20"/>
                <w:szCs w:val="20"/>
              </w:rPr>
              <w:t>Science Team conduct pre-</w:t>
            </w:r>
            <w:r>
              <w:rPr>
                <w:rFonts w:asciiTheme="minorHAnsi" w:hAnsiTheme="minorHAnsi" w:cstheme="minorHAnsi"/>
                <w:sz w:val="20"/>
                <w:szCs w:val="20"/>
              </w:rPr>
              <w:t xml:space="preserve"> and</w:t>
            </w:r>
            <w:r w:rsidRPr="000B2036">
              <w:rPr>
                <w:rFonts w:asciiTheme="minorHAnsi" w:hAnsiTheme="minorHAnsi" w:cstheme="minorHAnsi"/>
                <w:sz w:val="20"/>
                <w:szCs w:val="20"/>
              </w:rPr>
              <w:t xml:space="preserve"> post-treatment surveys of fuel</w:t>
            </w:r>
            <w:r w:rsidRPr="000B2036">
              <w:rPr>
                <w:rFonts w:asciiTheme="minorHAnsi" w:hAnsiTheme="minorHAnsi" w:cstheme="minorHAnsi"/>
                <w:spacing w:val="-2"/>
                <w:sz w:val="20"/>
                <w:szCs w:val="20"/>
              </w:rPr>
              <w:t xml:space="preserve"> </w:t>
            </w:r>
            <w:r w:rsidRPr="000B2036">
              <w:rPr>
                <w:rFonts w:asciiTheme="minorHAnsi" w:hAnsiTheme="minorHAnsi" w:cstheme="minorHAnsi"/>
                <w:sz w:val="20"/>
                <w:szCs w:val="20"/>
              </w:rPr>
              <w:t>loading.</w:t>
            </w:r>
          </w:p>
          <w:p w14:paraId="5B1643E3" w14:textId="77777777" w:rsidR="007D2E6F" w:rsidRDefault="007D2E6F" w:rsidP="007D2E6F">
            <w:pPr>
              <w:pStyle w:val="TableParagraph"/>
              <w:rPr>
                <w:rFonts w:asciiTheme="minorHAnsi" w:hAnsiTheme="minorHAnsi" w:cstheme="minorHAnsi"/>
                <w:i/>
                <w:iCs/>
                <w:sz w:val="18"/>
                <w:szCs w:val="18"/>
              </w:rPr>
            </w:pPr>
            <w:r w:rsidRPr="00E12283">
              <w:rPr>
                <w:rFonts w:asciiTheme="minorHAnsi" w:hAnsiTheme="minorHAnsi" w:cstheme="minorHAnsi"/>
                <w:i/>
                <w:iCs/>
                <w:sz w:val="18"/>
                <w:szCs w:val="18"/>
              </w:rPr>
              <w:t>(1g.,4a)</w:t>
            </w:r>
          </w:p>
          <w:p w14:paraId="61B41B1E" w14:textId="77777777" w:rsidR="007D2E6F" w:rsidRDefault="007D2E6F" w:rsidP="007D2E6F">
            <w:pPr>
              <w:pStyle w:val="TableParagraph"/>
              <w:rPr>
                <w:rFonts w:asciiTheme="minorHAnsi" w:hAnsiTheme="minorHAnsi" w:cstheme="minorHAnsi"/>
                <w:i/>
                <w:iCs/>
                <w:sz w:val="18"/>
                <w:szCs w:val="18"/>
              </w:rPr>
            </w:pPr>
          </w:p>
          <w:p w14:paraId="100A248E" w14:textId="4B207351" w:rsidR="007D2E6F" w:rsidRPr="008C6CE8" w:rsidRDefault="007D2E6F" w:rsidP="007D2E6F">
            <w:pPr>
              <w:pStyle w:val="TableParagraph"/>
              <w:rPr>
                <w:rFonts w:asciiTheme="minorHAnsi" w:hAnsiTheme="minorHAnsi" w:cstheme="minorHAnsi"/>
                <w:i/>
                <w:iCs/>
                <w:sz w:val="18"/>
                <w:szCs w:val="18"/>
              </w:rPr>
            </w:pPr>
            <w:r>
              <w:rPr>
                <w:rFonts w:asciiTheme="minorHAnsi" w:hAnsiTheme="minorHAnsi" w:cstheme="minorHAnsi"/>
                <w:sz w:val="18"/>
                <w:szCs w:val="18"/>
              </w:rPr>
              <w:t>GMUG fire/fuels staff GIS data on locations of burned slash piles.</w:t>
            </w:r>
          </w:p>
        </w:tc>
        <w:tc>
          <w:tcPr>
            <w:tcW w:w="6930" w:type="dxa"/>
          </w:tcPr>
          <w:p w14:paraId="61F3791D" w14:textId="7DB781E1" w:rsidR="007D2E6F" w:rsidRPr="00440AD1" w:rsidRDefault="007D2E6F" w:rsidP="007D2E6F">
            <w:pPr>
              <w:pStyle w:val="TableParagraph"/>
              <w:rPr>
                <w:rFonts w:asciiTheme="minorHAnsi" w:hAnsiTheme="minorHAnsi" w:cstheme="minorHAnsi"/>
                <w:sz w:val="20"/>
                <w:szCs w:val="20"/>
              </w:rPr>
            </w:pPr>
            <w:r>
              <w:rPr>
                <w:rFonts w:asciiTheme="minorHAnsi" w:hAnsiTheme="minorHAnsi" w:cstheme="minorHAnsi"/>
                <w:sz w:val="20"/>
                <w:szCs w:val="20"/>
              </w:rPr>
              <w:t>In the short term, s</w:t>
            </w:r>
            <w:r w:rsidRPr="00440AD1">
              <w:rPr>
                <w:rFonts w:asciiTheme="minorHAnsi" w:hAnsiTheme="minorHAnsi" w:cstheme="minorHAnsi"/>
                <w:sz w:val="20"/>
                <w:szCs w:val="20"/>
              </w:rPr>
              <w:t xml:space="preserve">alvage increased fine surface fuel, decreased litter and duff fuel load. </w:t>
            </w:r>
          </w:p>
          <w:p w14:paraId="729AC21D" w14:textId="77777777" w:rsidR="007D2E6F" w:rsidRPr="00440AD1" w:rsidRDefault="007D2E6F" w:rsidP="007D2E6F">
            <w:pPr>
              <w:pStyle w:val="TableParagraph"/>
              <w:rPr>
                <w:rFonts w:asciiTheme="minorHAnsi" w:hAnsiTheme="minorHAnsi" w:cstheme="minorHAnsi"/>
                <w:sz w:val="20"/>
                <w:szCs w:val="20"/>
              </w:rPr>
            </w:pPr>
          </w:p>
          <w:p w14:paraId="6CE211EA" w14:textId="77777777" w:rsidR="007D2E6F" w:rsidRDefault="007D2E6F" w:rsidP="007D2E6F">
            <w:pPr>
              <w:pStyle w:val="TableParagraph"/>
              <w:rPr>
                <w:rFonts w:asciiTheme="minorHAnsi" w:hAnsiTheme="minorHAnsi" w:cstheme="minorHAnsi"/>
                <w:sz w:val="20"/>
                <w:szCs w:val="20"/>
              </w:rPr>
            </w:pPr>
            <w:r>
              <w:rPr>
                <w:rFonts w:asciiTheme="minorHAnsi" w:hAnsiTheme="minorHAnsi" w:cstheme="minorHAnsi"/>
                <w:sz w:val="20"/>
                <w:szCs w:val="20"/>
              </w:rPr>
              <w:t>In 2015 sampling, c</w:t>
            </w:r>
            <w:r w:rsidRPr="00440AD1">
              <w:rPr>
                <w:rFonts w:asciiTheme="minorHAnsi" w:hAnsiTheme="minorHAnsi" w:cstheme="minorHAnsi"/>
                <w:sz w:val="20"/>
                <w:szCs w:val="20"/>
              </w:rPr>
              <w:t xml:space="preserve">oarse wood fuel loads </w:t>
            </w:r>
            <w:r>
              <w:rPr>
                <w:rFonts w:asciiTheme="minorHAnsi" w:hAnsiTheme="minorHAnsi" w:cstheme="minorHAnsi"/>
                <w:sz w:val="20"/>
                <w:szCs w:val="20"/>
              </w:rPr>
              <w:t>weren’t</w:t>
            </w:r>
            <w:r w:rsidRPr="00440AD1">
              <w:rPr>
                <w:rFonts w:asciiTheme="minorHAnsi" w:hAnsiTheme="minorHAnsi" w:cstheme="minorHAnsi"/>
                <w:sz w:val="20"/>
                <w:szCs w:val="20"/>
              </w:rPr>
              <w:t xml:space="preserve"> different between treatments and non-treated areas and are within normal ranges among the treatments. However, as dead trees begin to fall the areas that were not salvaged will have significant amounts of </w:t>
            </w:r>
            <w:r>
              <w:rPr>
                <w:rFonts w:asciiTheme="minorHAnsi" w:hAnsiTheme="minorHAnsi" w:cstheme="minorHAnsi"/>
                <w:sz w:val="20"/>
                <w:szCs w:val="20"/>
              </w:rPr>
              <w:t>coarse</w:t>
            </w:r>
            <w:r w:rsidRPr="00440AD1">
              <w:rPr>
                <w:rFonts w:asciiTheme="minorHAnsi" w:hAnsiTheme="minorHAnsi" w:cstheme="minorHAnsi"/>
                <w:sz w:val="20"/>
                <w:szCs w:val="20"/>
              </w:rPr>
              <w:t xml:space="preserve"> fuel.</w:t>
            </w:r>
          </w:p>
          <w:p w14:paraId="18BAAC92" w14:textId="77777777" w:rsidR="007D2E6F" w:rsidRDefault="007D2E6F" w:rsidP="007D2E6F">
            <w:pPr>
              <w:pStyle w:val="TableParagraph"/>
              <w:rPr>
                <w:rFonts w:asciiTheme="minorHAnsi" w:hAnsiTheme="minorHAnsi" w:cstheme="minorHAnsi"/>
                <w:i/>
                <w:iCs/>
                <w:sz w:val="20"/>
                <w:szCs w:val="20"/>
              </w:rPr>
            </w:pPr>
          </w:p>
          <w:p w14:paraId="70292251" w14:textId="01EF0771" w:rsidR="007D2E6F" w:rsidRPr="000E4980" w:rsidRDefault="007D2E6F" w:rsidP="007D2E6F">
            <w:pPr>
              <w:pStyle w:val="TableParagraph"/>
              <w:rPr>
                <w:rFonts w:asciiTheme="minorHAnsi" w:hAnsiTheme="minorHAnsi" w:cstheme="minorHAnsi"/>
                <w:i/>
                <w:iCs/>
                <w:sz w:val="20"/>
                <w:szCs w:val="20"/>
              </w:rPr>
            </w:pPr>
            <w:r>
              <w:rPr>
                <w:rFonts w:asciiTheme="minorHAnsi" w:hAnsiTheme="minorHAnsi" w:cstheme="minorHAnsi"/>
                <w:i/>
                <w:iCs/>
                <w:sz w:val="20"/>
                <w:szCs w:val="20"/>
              </w:rPr>
              <w:t>(This monitoring was completed in 2017)</w:t>
            </w:r>
          </w:p>
        </w:tc>
        <w:tc>
          <w:tcPr>
            <w:tcW w:w="2070" w:type="dxa"/>
          </w:tcPr>
          <w:p w14:paraId="5E78AC60" w14:textId="1AAC883F" w:rsidR="00F64F10" w:rsidRPr="00F64F10" w:rsidRDefault="00F64F10" w:rsidP="007D2E6F">
            <w:pPr>
              <w:pStyle w:val="TableParagraph"/>
              <w:rPr>
                <w:rFonts w:asciiTheme="minorHAnsi" w:hAnsiTheme="minorHAnsi" w:cstheme="minorHAnsi"/>
                <w:i/>
                <w:iCs/>
                <w:sz w:val="20"/>
                <w:szCs w:val="20"/>
              </w:rPr>
            </w:pPr>
            <w:r>
              <w:rPr>
                <w:rFonts w:asciiTheme="minorHAnsi" w:hAnsiTheme="minorHAnsi" w:cstheme="minorHAnsi"/>
                <w:i/>
                <w:iCs/>
                <w:sz w:val="20"/>
                <w:szCs w:val="20"/>
              </w:rPr>
              <w:t>No changes to SBEADMR needed at this time.</w:t>
            </w:r>
          </w:p>
          <w:p w14:paraId="7516693F" w14:textId="56B1EDC7" w:rsidR="007D2E6F" w:rsidRPr="00E97D1D" w:rsidRDefault="007D2E6F" w:rsidP="007D2E6F">
            <w:pPr>
              <w:pStyle w:val="TableParagraph"/>
              <w:rPr>
                <w:rFonts w:asciiTheme="minorHAnsi" w:hAnsiTheme="minorHAnsi" w:cstheme="minorHAnsi"/>
                <w:sz w:val="20"/>
                <w:szCs w:val="20"/>
              </w:rPr>
            </w:pPr>
          </w:p>
        </w:tc>
        <w:tc>
          <w:tcPr>
            <w:tcW w:w="1980" w:type="dxa"/>
          </w:tcPr>
          <w:p w14:paraId="77D07E69" w14:textId="683C7ABC" w:rsidR="007D2E6F" w:rsidRPr="000B2036" w:rsidRDefault="007D2E6F" w:rsidP="007D2E6F">
            <w:pPr>
              <w:pStyle w:val="TableParagraph"/>
              <w:rPr>
                <w:rFonts w:asciiTheme="minorHAnsi" w:hAnsiTheme="minorHAnsi" w:cstheme="minorHAnsi"/>
                <w:sz w:val="20"/>
                <w:szCs w:val="20"/>
              </w:rPr>
            </w:pPr>
          </w:p>
        </w:tc>
        <w:tc>
          <w:tcPr>
            <w:tcW w:w="3690" w:type="dxa"/>
          </w:tcPr>
          <w:p w14:paraId="48855447" w14:textId="77777777" w:rsidR="007D2E6F" w:rsidRPr="00E97D1D" w:rsidRDefault="007D2E6F" w:rsidP="007D2E6F">
            <w:pPr>
              <w:pStyle w:val="TableParagraph"/>
              <w:rPr>
                <w:rFonts w:asciiTheme="minorHAnsi" w:hAnsiTheme="minorHAnsi" w:cstheme="minorHAnsi"/>
                <w:sz w:val="20"/>
                <w:szCs w:val="20"/>
              </w:rPr>
            </w:pPr>
          </w:p>
          <w:p w14:paraId="148E6AF9" w14:textId="13D1876D" w:rsidR="007D2E6F" w:rsidRPr="000B2036" w:rsidRDefault="007D2E6F" w:rsidP="00547837">
            <w:pPr>
              <w:pStyle w:val="TableParagraph"/>
              <w:rPr>
                <w:rFonts w:asciiTheme="minorHAnsi" w:hAnsiTheme="minorHAnsi" w:cstheme="minorHAnsi"/>
                <w:sz w:val="20"/>
                <w:szCs w:val="20"/>
              </w:rPr>
            </w:pPr>
          </w:p>
        </w:tc>
      </w:tr>
      <w:tr w:rsidR="007D2E6F" w:rsidRPr="000B2036" w14:paraId="191BD758" w14:textId="77777777" w:rsidTr="505C20AD">
        <w:trPr>
          <w:trHeight w:val="1745"/>
        </w:trPr>
        <w:tc>
          <w:tcPr>
            <w:tcW w:w="2520" w:type="dxa"/>
          </w:tcPr>
          <w:p w14:paraId="050AF511" w14:textId="77777777" w:rsidR="007D2E6F" w:rsidRDefault="007D2E6F" w:rsidP="007D2E6F">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Achieve a balance of habitat structural stages, tree species composition, and seral stage distributions appropriate for each vegetation type across </w:t>
            </w:r>
            <w:r>
              <w:rPr>
                <w:rFonts w:asciiTheme="minorHAnsi" w:hAnsiTheme="minorHAnsi" w:cstheme="minorHAnsi"/>
                <w:sz w:val="20"/>
                <w:szCs w:val="20"/>
              </w:rPr>
              <w:t xml:space="preserve">the </w:t>
            </w:r>
            <w:proofErr w:type="gramStart"/>
            <w:r>
              <w:rPr>
                <w:rFonts w:asciiTheme="minorHAnsi" w:hAnsiTheme="minorHAnsi" w:cstheme="minorHAnsi"/>
                <w:sz w:val="20"/>
                <w:szCs w:val="20"/>
              </w:rPr>
              <w:t>GMUG</w:t>
            </w:r>
            <w:proofErr w:type="gramEnd"/>
            <w:r w:rsidRPr="000B2036">
              <w:rPr>
                <w:rFonts w:asciiTheme="minorHAnsi" w:hAnsiTheme="minorHAnsi" w:cstheme="minorHAnsi"/>
                <w:sz w:val="20"/>
                <w:szCs w:val="20"/>
              </w:rPr>
              <w:t xml:space="preserve"> </w:t>
            </w:r>
          </w:p>
          <w:p w14:paraId="088149F6" w14:textId="6E1A6113" w:rsidR="007D2E6F" w:rsidRPr="000B2036" w:rsidRDefault="007D2E6F" w:rsidP="007D2E6F">
            <w:pPr>
              <w:pStyle w:val="TableParagraph"/>
              <w:rPr>
                <w:rFonts w:asciiTheme="minorHAnsi" w:hAnsiTheme="minorHAnsi" w:cstheme="minorHAnsi"/>
                <w:sz w:val="20"/>
                <w:szCs w:val="20"/>
              </w:rPr>
            </w:pPr>
            <w:r w:rsidRPr="00BF032C">
              <w:rPr>
                <w:rFonts w:asciiTheme="minorHAnsi" w:hAnsiTheme="minorHAnsi" w:cstheme="minorHAnsi"/>
                <w:sz w:val="16"/>
                <w:szCs w:val="16"/>
              </w:rPr>
              <w:t>(ROD Purpose &amp; Need Desired Condition, p. 3)</w:t>
            </w:r>
          </w:p>
        </w:tc>
        <w:tc>
          <w:tcPr>
            <w:tcW w:w="1620" w:type="dxa"/>
          </w:tcPr>
          <w:p w14:paraId="39B4DC4A" w14:textId="179A1DEA" w:rsidR="007D2E6F" w:rsidRPr="00E12283" w:rsidRDefault="007D2E6F" w:rsidP="007D2E6F">
            <w:pPr>
              <w:pStyle w:val="TableParagraph"/>
              <w:rPr>
                <w:rFonts w:asciiTheme="minorHAnsi" w:hAnsiTheme="minorHAnsi" w:cstheme="minorHAnsi"/>
                <w:i/>
                <w:iCs/>
                <w:sz w:val="20"/>
                <w:szCs w:val="20"/>
              </w:rPr>
            </w:pPr>
            <w:r w:rsidRPr="000B2036">
              <w:rPr>
                <w:rFonts w:asciiTheme="minorHAnsi" w:hAnsiTheme="minorHAnsi" w:cstheme="minorHAnsi"/>
                <w:sz w:val="20"/>
                <w:szCs w:val="20"/>
              </w:rPr>
              <w:t>Science Team field surveys of tree regeneration in unmanaged vs previously managed stands impacted by spruce beetle</w:t>
            </w:r>
            <w:r>
              <w:rPr>
                <w:rFonts w:asciiTheme="minorHAnsi" w:hAnsiTheme="minorHAnsi" w:cstheme="minorHAnsi"/>
                <w:sz w:val="20"/>
                <w:szCs w:val="20"/>
              </w:rPr>
              <w:t xml:space="preserve"> </w:t>
            </w:r>
            <w:r>
              <w:rPr>
                <w:rFonts w:asciiTheme="minorHAnsi" w:hAnsiTheme="minorHAnsi" w:cstheme="minorHAnsi"/>
                <w:i/>
                <w:iCs/>
                <w:sz w:val="20"/>
                <w:szCs w:val="20"/>
              </w:rPr>
              <w:t>(1a-d, 1f, 3d.)</w:t>
            </w:r>
          </w:p>
        </w:tc>
        <w:tc>
          <w:tcPr>
            <w:tcW w:w="6930" w:type="dxa"/>
          </w:tcPr>
          <w:p w14:paraId="736A58FB" w14:textId="78D158C0" w:rsidR="007D2E6F" w:rsidRDefault="007D2E6F" w:rsidP="007D2E6F">
            <w:pPr>
              <w:pStyle w:val="TableParagraph"/>
              <w:rPr>
                <w:rFonts w:asciiTheme="minorHAnsi" w:hAnsiTheme="minorHAnsi" w:cstheme="minorHAnsi"/>
                <w:sz w:val="20"/>
                <w:szCs w:val="20"/>
              </w:rPr>
            </w:pPr>
            <w:r>
              <w:rPr>
                <w:rFonts w:asciiTheme="minorHAnsi" w:hAnsiTheme="minorHAnsi" w:cstheme="minorHAnsi"/>
                <w:sz w:val="20"/>
                <w:szCs w:val="20"/>
              </w:rPr>
              <w:t>Spruce saplings, advanced regeneration, and new regeneration are above stocking standards</w:t>
            </w:r>
            <w:r w:rsidRPr="000B2036">
              <w:rPr>
                <w:rFonts w:asciiTheme="minorHAnsi" w:hAnsiTheme="minorHAnsi" w:cstheme="minorHAnsi"/>
                <w:sz w:val="20"/>
                <w:szCs w:val="20"/>
              </w:rPr>
              <w:t xml:space="preserve"> in </w:t>
            </w:r>
            <w:r>
              <w:rPr>
                <w:rFonts w:asciiTheme="minorHAnsi" w:hAnsiTheme="minorHAnsi" w:cstheme="minorHAnsi"/>
                <w:sz w:val="20"/>
                <w:szCs w:val="20"/>
              </w:rPr>
              <w:t xml:space="preserve">salvaged, </w:t>
            </w:r>
            <w:proofErr w:type="gramStart"/>
            <w:r w:rsidRPr="000B2036">
              <w:rPr>
                <w:rFonts w:asciiTheme="minorHAnsi" w:hAnsiTheme="minorHAnsi" w:cstheme="minorHAnsi"/>
                <w:sz w:val="20"/>
                <w:szCs w:val="20"/>
              </w:rPr>
              <w:t>unmanaged</w:t>
            </w:r>
            <w:proofErr w:type="gramEnd"/>
            <w:r w:rsidRPr="000B2036">
              <w:rPr>
                <w:rFonts w:asciiTheme="minorHAnsi" w:hAnsiTheme="minorHAnsi" w:cstheme="minorHAnsi"/>
                <w:sz w:val="20"/>
                <w:szCs w:val="20"/>
              </w:rPr>
              <w:t xml:space="preserve"> and previously managed areas impacted by the spruce beetle outbreak.</w:t>
            </w:r>
          </w:p>
          <w:p w14:paraId="48FECBD1" w14:textId="77777777" w:rsidR="007D2E6F" w:rsidRDefault="007D2E6F" w:rsidP="007D2E6F">
            <w:pPr>
              <w:pStyle w:val="TableParagraph"/>
              <w:rPr>
                <w:rFonts w:asciiTheme="minorHAnsi" w:hAnsiTheme="minorHAnsi" w:cstheme="minorHAnsi"/>
                <w:sz w:val="20"/>
                <w:szCs w:val="20"/>
              </w:rPr>
            </w:pPr>
          </w:p>
          <w:p w14:paraId="4AE44BBA" w14:textId="77777777" w:rsidR="007D2E6F" w:rsidRDefault="007D2E6F" w:rsidP="007D2E6F">
            <w:pPr>
              <w:pStyle w:val="TableParagraph"/>
              <w:rPr>
                <w:rFonts w:asciiTheme="minorHAnsi" w:hAnsiTheme="minorHAnsi" w:cstheme="minorHAnsi"/>
                <w:sz w:val="20"/>
                <w:szCs w:val="20"/>
              </w:rPr>
            </w:pPr>
            <w:r>
              <w:rPr>
                <w:rFonts w:asciiTheme="minorHAnsi" w:hAnsiTheme="minorHAnsi" w:cstheme="minorHAnsi"/>
                <w:sz w:val="20"/>
                <w:szCs w:val="20"/>
              </w:rPr>
              <w:t>S</w:t>
            </w:r>
            <w:r w:rsidRPr="00966FD7">
              <w:rPr>
                <w:rFonts w:asciiTheme="minorHAnsi" w:hAnsiTheme="minorHAnsi" w:cstheme="minorHAnsi"/>
                <w:sz w:val="20"/>
                <w:szCs w:val="20"/>
              </w:rPr>
              <w:t>eed production has varied</w:t>
            </w:r>
            <w:r>
              <w:rPr>
                <w:rFonts w:asciiTheme="minorHAnsi" w:hAnsiTheme="minorHAnsi" w:cstheme="minorHAnsi"/>
                <w:sz w:val="20"/>
                <w:szCs w:val="20"/>
              </w:rPr>
              <w:t xml:space="preserve"> from 2018 through 2020</w:t>
            </w:r>
            <w:r w:rsidRPr="00966FD7">
              <w:rPr>
                <w:rFonts w:asciiTheme="minorHAnsi" w:hAnsiTheme="minorHAnsi" w:cstheme="minorHAnsi"/>
                <w:sz w:val="20"/>
                <w:szCs w:val="20"/>
              </w:rPr>
              <w:t>.  This annual variability is to be expected as Engelmann spruce seed production is known to vary in space and time. While one year (2018 seed production year) is higher than the other two years, it is important to recognize that the treatments (unmanaged, previously harvested, and salvaged) had similar seeds per plot found.  This suggests that Engelmann spruce seeds are still present and dispersing on the landscape.</w:t>
            </w:r>
          </w:p>
          <w:p w14:paraId="542C2C99" w14:textId="77777777" w:rsidR="007D2E6F" w:rsidRDefault="007D2E6F" w:rsidP="007D2E6F">
            <w:pPr>
              <w:pStyle w:val="TableParagraph"/>
              <w:rPr>
                <w:rFonts w:asciiTheme="minorHAnsi" w:hAnsiTheme="minorHAnsi" w:cstheme="minorHAnsi"/>
                <w:sz w:val="20"/>
                <w:szCs w:val="20"/>
              </w:rPr>
            </w:pPr>
          </w:p>
          <w:p w14:paraId="6A73D3E1" w14:textId="74620BB7" w:rsidR="007D2E6F" w:rsidRPr="000B2036" w:rsidRDefault="007D2E6F" w:rsidP="007D2E6F">
            <w:pPr>
              <w:pStyle w:val="TableParagraph"/>
              <w:rPr>
                <w:rFonts w:asciiTheme="minorHAnsi" w:hAnsiTheme="minorHAnsi" w:cstheme="minorHAnsi"/>
                <w:sz w:val="20"/>
                <w:szCs w:val="20"/>
              </w:rPr>
            </w:pPr>
            <w:r>
              <w:rPr>
                <w:rFonts w:asciiTheme="minorHAnsi" w:hAnsiTheme="minorHAnsi" w:cstheme="minorHAnsi"/>
                <w:sz w:val="20"/>
                <w:szCs w:val="20"/>
              </w:rPr>
              <w:t>A final resample of these monitoring plots will take place in summer 2023.</w:t>
            </w:r>
          </w:p>
        </w:tc>
        <w:tc>
          <w:tcPr>
            <w:tcW w:w="2070" w:type="dxa"/>
          </w:tcPr>
          <w:p w14:paraId="38E32236" w14:textId="77777777" w:rsidR="00F64F10" w:rsidRPr="00F64F10" w:rsidRDefault="00F64F10" w:rsidP="00F64F10">
            <w:pPr>
              <w:pStyle w:val="TableParagraph"/>
              <w:rPr>
                <w:rFonts w:asciiTheme="minorHAnsi" w:hAnsiTheme="minorHAnsi" w:cstheme="minorHAnsi"/>
                <w:i/>
                <w:iCs/>
                <w:sz w:val="20"/>
                <w:szCs w:val="20"/>
              </w:rPr>
            </w:pPr>
            <w:r>
              <w:rPr>
                <w:rFonts w:asciiTheme="minorHAnsi" w:hAnsiTheme="minorHAnsi" w:cstheme="minorHAnsi"/>
                <w:i/>
                <w:iCs/>
                <w:sz w:val="20"/>
                <w:szCs w:val="20"/>
              </w:rPr>
              <w:t>No changes to SBEADMR needed at this time.</w:t>
            </w:r>
          </w:p>
          <w:p w14:paraId="022F1B5E" w14:textId="733D5D27" w:rsidR="007D2E6F" w:rsidRPr="000B2036" w:rsidRDefault="007D2E6F" w:rsidP="007D2E6F">
            <w:pPr>
              <w:pStyle w:val="TableParagraph"/>
              <w:rPr>
                <w:rFonts w:asciiTheme="minorHAnsi" w:hAnsiTheme="minorHAnsi" w:cstheme="minorHAnsi"/>
                <w:sz w:val="20"/>
                <w:szCs w:val="20"/>
              </w:rPr>
            </w:pPr>
          </w:p>
        </w:tc>
        <w:tc>
          <w:tcPr>
            <w:tcW w:w="1980" w:type="dxa"/>
          </w:tcPr>
          <w:p w14:paraId="64398B23" w14:textId="142B9FBA" w:rsidR="007D2E6F" w:rsidRPr="00BC730F" w:rsidRDefault="007D2E6F" w:rsidP="007D2E6F">
            <w:pPr>
              <w:pStyle w:val="TableParagraph"/>
              <w:rPr>
                <w:rFonts w:asciiTheme="minorHAnsi" w:hAnsiTheme="minorHAnsi" w:cstheme="minorHAnsi"/>
                <w:bCs/>
                <w:i/>
                <w:iCs/>
                <w:sz w:val="20"/>
                <w:szCs w:val="20"/>
              </w:rPr>
            </w:pPr>
          </w:p>
        </w:tc>
        <w:tc>
          <w:tcPr>
            <w:tcW w:w="3690" w:type="dxa"/>
          </w:tcPr>
          <w:p w14:paraId="48344A86" w14:textId="1D4C8A24" w:rsidR="007D2E6F" w:rsidRPr="00E97D1D" w:rsidRDefault="007D2E6F" w:rsidP="007D2E6F">
            <w:pPr>
              <w:pStyle w:val="TableParagraph"/>
              <w:rPr>
                <w:rFonts w:asciiTheme="minorHAnsi" w:hAnsiTheme="minorHAnsi" w:cstheme="minorHAnsi"/>
                <w:sz w:val="20"/>
                <w:szCs w:val="20"/>
              </w:rPr>
            </w:pPr>
          </w:p>
        </w:tc>
      </w:tr>
      <w:tr w:rsidR="006F6B24" w:rsidRPr="000B2036" w14:paraId="303B9008" w14:textId="77777777" w:rsidTr="505C20AD">
        <w:trPr>
          <w:trHeight w:val="2448"/>
        </w:trPr>
        <w:tc>
          <w:tcPr>
            <w:tcW w:w="2520" w:type="dxa"/>
          </w:tcPr>
          <w:p w14:paraId="0724F06A" w14:textId="34E6D3BC" w:rsidR="006F6B24" w:rsidRDefault="006F6B24" w:rsidP="006F6B24">
            <w:pPr>
              <w:pStyle w:val="TableParagraph"/>
              <w:rPr>
                <w:rFonts w:asciiTheme="minorHAnsi" w:hAnsiTheme="minorHAnsi" w:cstheme="minorHAnsi"/>
                <w:sz w:val="20"/>
                <w:szCs w:val="20"/>
              </w:rPr>
            </w:pPr>
            <w:r w:rsidRPr="000B2036">
              <w:rPr>
                <w:rFonts w:asciiTheme="minorHAnsi" w:hAnsiTheme="minorHAnsi" w:cstheme="minorHAnsi"/>
                <w:sz w:val="20"/>
                <w:szCs w:val="20"/>
              </w:rPr>
              <w:t>Maintain 5-15% of vegetation at the HUC 12 watershed scale in structural stages 4A, 4B and 4C where biological</w:t>
            </w:r>
            <w:r w:rsidR="006740A5">
              <w:rPr>
                <w:rFonts w:asciiTheme="minorHAnsi" w:hAnsiTheme="minorHAnsi" w:cstheme="minorHAnsi"/>
                <w:sz w:val="20"/>
                <w:szCs w:val="20"/>
              </w:rPr>
              <w:t>ly</w:t>
            </w:r>
            <w:r w:rsidRPr="000B2036">
              <w:rPr>
                <w:rFonts w:asciiTheme="minorHAnsi" w:hAnsiTheme="minorHAnsi" w:cstheme="minorHAnsi"/>
                <w:sz w:val="20"/>
                <w:szCs w:val="20"/>
              </w:rPr>
              <w:t xml:space="preserve"> feasible. </w:t>
            </w:r>
          </w:p>
          <w:p w14:paraId="26040928" w14:textId="3853EFD8" w:rsidR="006F6B24" w:rsidRPr="000B2036" w:rsidRDefault="006F6B24" w:rsidP="006F6B24">
            <w:pPr>
              <w:pStyle w:val="TableParagraph"/>
              <w:rPr>
                <w:rFonts w:asciiTheme="minorHAnsi" w:hAnsiTheme="minorHAnsi" w:cstheme="minorHAnsi"/>
                <w:sz w:val="20"/>
                <w:szCs w:val="20"/>
              </w:rPr>
            </w:pPr>
            <w:r w:rsidRPr="00BF032C">
              <w:rPr>
                <w:rFonts w:asciiTheme="minorHAnsi" w:hAnsiTheme="minorHAnsi" w:cstheme="minorHAnsi"/>
                <w:sz w:val="16"/>
                <w:szCs w:val="16"/>
              </w:rPr>
              <w:t>(Decision Trigger, FEIS, Table 6, p. 44)</w:t>
            </w:r>
          </w:p>
        </w:tc>
        <w:tc>
          <w:tcPr>
            <w:tcW w:w="1620" w:type="dxa"/>
          </w:tcPr>
          <w:p w14:paraId="03E0161B" w14:textId="38A219E8" w:rsidR="006F6B24" w:rsidRPr="000B2036" w:rsidRDefault="006F6B24" w:rsidP="006F6B24">
            <w:pPr>
              <w:pStyle w:val="TableParagraph"/>
              <w:rPr>
                <w:rFonts w:asciiTheme="minorHAnsi" w:hAnsiTheme="minorHAnsi" w:cstheme="minorHAnsi"/>
                <w:sz w:val="20"/>
                <w:szCs w:val="20"/>
              </w:rPr>
            </w:pPr>
            <w:r>
              <w:rPr>
                <w:rFonts w:asciiTheme="minorHAnsi" w:hAnsiTheme="minorHAnsi" w:cstheme="minorHAnsi"/>
                <w:sz w:val="20"/>
                <w:szCs w:val="20"/>
              </w:rPr>
              <w:t xml:space="preserve">GMUG Forest Bio updates annually based on </w:t>
            </w:r>
            <w:proofErr w:type="spellStart"/>
            <w:r>
              <w:rPr>
                <w:rFonts w:asciiTheme="minorHAnsi" w:hAnsiTheme="minorHAnsi" w:cstheme="minorHAnsi"/>
                <w:sz w:val="20"/>
                <w:szCs w:val="20"/>
              </w:rPr>
              <w:t>FSVegSpatial</w:t>
            </w:r>
            <w:proofErr w:type="spellEnd"/>
            <w:r>
              <w:rPr>
                <w:rFonts w:asciiTheme="minorHAnsi" w:hAnsiTheme="minorHAnsi" w:cstheme="minorHAnsi"/>
                <w:sz w:val="20"/>
                <w:szCs w:val="20"/>
              </w:rPr>
              <w:t xml:space="preserve"> data</w:t>
            </w:r>
          </w:p>
        </w:tc>
        <w:tc>
          <w:tcPr>
            <w:tcW w:w="6930" w:type="dxa"/>
          </w:tcPr>
          <w:p w14:paraId="5A0BE6EB" w14:textId="652EFD09" w:rsidR="006F6B24" w:rsidRPr="003409A0" w:rsidRDefault="007E057F" w:rsidP="006F6B24">
            <w:pPr>
              <w:pStyle w:val="TableParagraph"/>
              <w:rPr>
                <w:rFonts w:asciiTheme="minorHAnsi" w:hAnsiTheme="minorHAnsi" w:cstheme="minorHAnsi"/>
                <w:sz w:val="20"/>
                <w:szCs w:val="20"/>
              </w:rPr>
            </w:pPr>
            <w:r w:rsidRPr="003409A0">
              <w:rPr>
                <w:rFonts w:asciiTheme="minorHAnsi" w:hAnsiTheme="minorHAnsi" w:cstheme="minorHAnsi"/>
                <w:sz w:val="20"/>
                <w:szCs w:val="20"/>
              </w:rPr>
              <w:t>Ten</w:t>
            </w:r>
            <w:r w:rsidR="006F6B24" w:rsidRPr="003409A0">
              <w:rPr>
                <w:rFonts w:asciiTheme="minorHAnsi" w:hAnsiTheme="minorHAnsi" w:cstheme="minorHAnsi"/>
                <w:sz w:val="20"/>
                <w:szCs w:val="20"/>
              </w:rPr>
              <w:t xml:space="preserve"> watersheds have 20% or less mature spruce-fir (4A, 4B, 4C). Of those, three watersheds range between 5 – 15%. Six watersheds are less than 5%.</w:t>
            </w:r>
            <w:r w:rsidR="006F6B24" w:rsidRPr="003409A0">
              <w:rPr>
                <w:sz w:val="20"/>
                <w:szCs w:val="20"/>
              </w:rPr>
              <w:t xml:space="preserve"> Two are 17 and 20%, respectively.</w:t>
            </w:r>
            <w:r w:rsidR="006F6B24" w:rsidRPr="003409A0">
              <w:rPr>
                <w:rFonts w:asciiTheme="minorHAnsi" w:hAnsiTheme="minorHAnsi" w:cstheme="minorHAnsi"/>
                <w:sz w:val="20"/>
                <w:szCs w:val="20"/>
              </w:rPr>
              <w:t xml:space="preserve"> </w:t>
            </w:r>
            <w:r w:rsidR="006F6B24" w:rsidRPr="006740A5">
              <w:rPr>
                <w:rFonts w:asciiTheme="minorHAnsi" w:hAnsiTheme="minorHAnsi" w:cstheme="minorHAnsi"/>
                <w:sz w:val="20"/>
                <w:szCs w:val="20"/>
              </w:rPr>
              <w:t>There are no pending SBEADMR treatments in the 3-year plan in any of these watersheds.</w:t>
            </w:r>
            <w:r w:rsidR="006F6B24" w:rsidRPr="003409A0">
              <w:rPr>
                <w:rFonts w:asciiTheme="minorHAnsi" w:hAnsiTheme="minorHAnsi" w:cstheme="minorHAnsi"/>
                <w:sz w:val="20"/>
                <w:szCs w:val="20"/>
              </w:rPr>
              <w:t xml:space="preserve"> </w:t>
            </w:r>
            <w:r w:rsidR="006F6B24" w:rsidRPr="003409A0">
              <w:rPr>
                <w:rFonts w:asciiTheme="minorHAnsi" w:hAnsiTheme="minorHAnsi" w:cstheme="minorHAnsi"/>
                <w:i/>
                <w:iCs/>
                <w:sz w:val="20"/>
                <w:szCs w:val="20"/>
              </w:rPr>
              <w:t>Appendix A</w:t>
            </w:r>
            <w:r w:rsidR="006F6B24" w:rsidRPr="003409A0">
              <w:rPr>
                <w:rFonts w:asciiTheme="minorHAnsi" w:hAnsiTheme="minorHAnsi" w:cstheme="minorHAnsi"/>
                <w:sz w:val="20"/>
                <w:szCs w:val="20"/>
              </w:rPr>
              <w:t xml:space="preserve"> is a 202</w:t>
            </w:r>
            <w:r w:rsidRPr="003409A0">
              <w:rPr>
                <w:rFonts w:asciiTheme="minorHAnsi" w:hAnsiTheme="minorHAnsi" w:cstheme="minorHAnsi"/>
                <w:sz w:val="20"/>
                <w:szCs w:val="20"/>
              </w:rPr>
              <w:t>3</w:t>
            </w:r>
            <w:r w:rsidR="006F6B24" w:rsidRPr="003409A0">
              <w:rPr>
                <w:rFonts w:asciiTheme="minorHAnsi" w:hAnsiTheme="minorHAnsi" w:cstheme="minorHAnsi"/>
                <w:sz w:val="20"/>
                <w:szCs w:val="20"/>
              </w:rPr>
              <w:t xml:space="preserve"> updated summary table of the HUC12 watersheds referenced above. </w:t>
            </w:r>
          </w:p>
          <w:p w14:paraId="376FA72C" w14:textId="77777777" w:rsidR="006F6B24" w:rsidRPr="003409A0" w:rsidRDefault="006F6B24" w:rsidP="006F6B24">
            <w:pPr>
              <w:pStyle w:val="TableParagraph"/>
              <w:rPr>
                <w:rFonts w:asciiTheme="minorHAnsi" w:hAnsiTheme="minorHAnsi" w:cstheme="minorHAnsi"/>
                <w:sz w:val="20"/>
                <w:szCs w:val="20"/>
              </w:rPr>
            </w:pPr>
          </w:p>
          <w:p w14:paraId="46BCC3BA" w14:textId="15A6B4B8" w:rsidR="006F6B24" w:rsidRPr="00513381" w:rsidRDefault="006F6B24" w:rsidP="006F6B24">
            <w:pPr>
              <w:pStyle w:val="TableParagraph"/>
              <w:rPr>
                <w:rFonts w:asciiTheme="minorHAnsi" w:hAnsiTheme="minorHAnsi" w:cstheme="minorHAnsi"/>
                <w:sz w:val="20"/>
                <w:szCs w:val="20"/>
              </w:rPr>
            </w:pPr>
          </w:p>
        </w:tc>
        <w:tc>
          <w:tcPr>
            <w:tcW w:w="2070" w:type="dxa"/>
          </w:tcPr>
          <w:p w14:paraId="7CA43905" w14:textId="77777777" w:rsidR="00F64F10" w:rsidRPr="00F64F10" w:rsidRDefault="00F64F10" w:rsidP="00F64F10">
            <w:pPr>
              <w:pStyle w:val="TableParagraph"/>
              <w:rPr>
                <w:rFonts w:asciiTheme="minorHAnsi" w:hAnsiTheme="minorHAnsi" w:cstheme="minorHAnsi"/>
                <w:i/>
                <w:iCs/>
                <w:sz w:val="20"/>
                <w:szCs w:val="20"/>
              </w:rPr>
            </w:pPr>
            <w:r>
              <w:rPr>
                <w:rFonts w:asciiTheme="minorHAnsi" w:hAnsiTheme="minorHAnsi" w:cstheme="minorHAnsi"/>
                <w:i/>
                <w:iCs/>
                <w:sz w:val="20"/>
                <w:szCs w:val="20"/>
              </w:rPr>
              <w:t>No changes to SBEADMR needed at this time.</w:t>
            </w:r>
          </w:p>
          <w:p w14:paraId="52ADA012" w14:textId="1D0D9F6B" w:rsidR="006F6B24" w:rsidRPr="000B2036" w:rsidRDefault="006F6B24" w:rsidP="006F6B24">
            <w:pPr>
              <w:pStyle w:val="TableParagraph"/>
              <w:rPr>
                <w:rFonts w:asciiTheme="minorHAnsi" w:hAnsiTheme="minorHAnsi" w:cstheme="minorHAnsi"/>
                <w:b/>
                <w:sz w:val="20"/>
                <w:szCs w:val="20"/>
              </w:rPr>
            </w:pPr>
          </w:p>
        </w:tc>
        <w:tc>
          <w:tcPr>
            <w:tcW w:w="1980" w:type="dxa"/>
          </w:tcPr>
          <w:p w14:paraId="69E2A2C9" w14:textId="1C5C53F5" w:rsidR="006F6B24" w:rsidRPr="00BC730F" w:rsidRDefault="006F6B24" w:rsidP="006F6B24">
            <w:pPr>
              <w:pStyle w:val="TableParagraph"/>
              <w:rPr>
                <w:rFonts w:asciiTheme="minorHAnsi" w:hAnsiTheme="minorHAnsi" w:cstheme="minorHAnsi"/>
                <w:bCs/>
                <w:i/>
                <w:iCs/>
                <w:sz w:val="20"/>
                <w:szCs w:val="20"/>
              </w:rPr>
            </w:pPr>
          </w:p>
        </w:tc>
        <w:tc>
          <w:tcPr>
            <w:tcW w:w="3690" w:type="dxa"/>
          </w:tcPr>
          <w:p w14:paraId="1438B2BE" w14:textId="77777777" w:rsidR="006F6B24" w:rsidRDefault="006F6B24" w:rsidP="006F6B24">
            <w:pPr>
              <w:pStyle w:val="TableParagraph"/>
              <w:rPr>
                <w:rFonts w:asciiTheme="minorHAnsi" w:hAnsiTheme="minorHAnsi" w:cstheme="minorHAnsi"/>
                <w:sz w:val="20"/>
                <w:szCs w:val="20"/>
              </w:rPr>
            </w:pPr>
          </w:p>
          <w:p w14:paraId="368BE777" w14:textId="7B234C72" w:rsidR="006F6B24" w:rsidRPr="000B2036" w:rsidRDefault="006F6B24" w:rsidP="006F6B24">
            <w:pPr>
              <w:pStyle w:val="TableParagraph"/>
              <w:rPr>
                <w:rFonts w:asciiTheme="minorHAnsi" w:hAnsiTheme="minorHAnsi" w:cstheme="minorHAnsi"/>
                <w:sz w:val="20"/>
                <w:szCs w:val="20"/>
              </w:rPr>
            </w:pPr>
          </w:p>
        </w:tc>
      </w:tr>
      <w:tr w:rsidR="006F6B24" w:rsidRPr="000B2036" w14:paraId="0BCC8C27" w14:textId="77777777" w:rsidTr="505C20AD">
        <w:trPr>
          <w:trHeight w:val="1440"/>
        </w:trPr>
        <w:tc>
          <w:tcPr>
            <w:tcW w:w="2520" w:type="dxa"/>
          </w:tcPr>
          <w:p w14:paraId="17395E20" w14:textId="6C17E38E" w:rsidR="006F6B24" w:rsidRPr="000B2036" w:rsidRDefault="006F6B24" w:rsidP="006F6B24">
            <w:pPr>
              <w:pStyle w:val="TableParagraph"/>
              <w:rPr>
                <w:rFonts w:asciiTheme="minorHAnsi" w:hAnsiTheme="minorHAnsi" w:cstheme="minorHAnsi"/>
                <w:sz w:val="20"/>
                <w:szCs w:val="20"/>
              </w:rPr>
            </w:pPr>
            <w:r w:rsidRPr="000B2036">
              <w:rPr>
                <w:rFonts w:asciiTheme="minorHAnsi" w:hAnsiTheme="minorHAnsi" w:cstheme="minorHAnsi"/>
                <w:sz w:val="20"/>
                <w:szCs w:val="20"/>
              </w:rPr>
              <w:lastRenderedPageBreak/>
              <w:t xml:space="preserve">In healthier spruce-fir stands, promote </w:t>
            </w:r>
            <w:proofErr w:type="gramStart"/>
            <w:r w:rsidRPr="000B2036">
              <w:rPr>
                <w:rFonts w:asciiTheme="minorHAnsi" w:hAnsiTheme="minorHAnsi" w:cstheme="minorHAnsi"/>
                <w:sz w:val="20"/>
                <w:szCs w:val="20"/>
              </w:rPr>
              <w:t>regeneration</w:t>
            </w:r>
            <w:proofErr w:type="gramEnd"/>
            <w:r w:rsidRPr="000B2036">
              <w:rPr>
                <w:rFonts w:asciiTheme="minorHAnsi" w:hAnsiTheme="minorHAnsi" w:cstheme="minorHAnsi"/>
                <w:sz w:val="20"/>
                <w:szCs w:val="20"/>
              </w:rPr>
              <w:t xml:space="preserve"> and create multiple age classes </w:t>
            </w:r>
            <w:r w:rsidRPr="00BF032C">
              <w:rPr>
                <w:rFonts w:asciiTheme="minorHAnsi" w:hAnsiTheme="minorHAnsi" w:cstheme="minorHAnsi"/>
                <w:sz w:val="16"/>
                <w:szCs w:val="16"/>
              </w:rPr>
              <w:t>(Resilience Goal 1.a., ROD, p. 4)</w:t>
            </w:r>
          </w:p>
        </w:tc>
        <w:tc>
          <w:tcPr>
            <w:tcW w:w="1620" w:type="dxa"/>
          </w:tcPr>
          <w:p w14:paraId="0EDC9DD6" w14:textId="05087F8E" w:rsidR="006F6B24" w:rsidRPr="00E12283" w:rsidRDefault="006F6B24" w:rsidP="006F6B24">
            <w:pPr>
              <w:pStyle w:val="TableParagraph"/>
              <w:rPr>
                <w:rFonts w:asciiTheme="minorHAnsi" w:hAnsiTheme="minorHAnsi" w:cstheme="minorHAnsi"/>
                <w:i/>
                <w:iCs/>
                <w:sz w:val="20"/>
                <w:szCs w:val="20"/>
              </w:rPr>
            </w:pPr>
            <w:r w:rsidRPr="000B2036">
              <w:rPr>
                <w:rFonts w:asciiTheme="minorHAnsi" w:hAnsiTheme="minorHAnsi" w:cstheme="minorHAnsi"/>
                <w:sz w:val="20"/>
                <w:szCs w:val="20"/>
              </w:rPr>
              <w:t xml:space="preserve">Science Team pre- </w:t>
            </w:r>
            <w:r>
              <w:rPr>
                <w:rFonts w:asciiTheme="minorHAnsi" w:hAnsiTheme="minorHAnsi" w:cstheme="minorHAnsi"/>
                <w:sz w:val="20"/>
                <w:szCs w:val="20"/>
              </w:rPr>
              <w:t>and</w:t>
            </w:r>
            <w:r w:rsidRPr="000B2036">
              <w:rPr>
                <w:rFonts w:asciiTheme="minorHAnsi" w:hAnsiTheme="minorHAnsi" w:cstheme="minorHAnsi"/>
                <w:sz w:val="20"/>
                <w:szCs w:val="20"/>
              </w:rPr>
              <w:t xml:space="preserve"> post-harvest surveys of forest stand structure, tree regeneration, and species composition</w:t>
            </w:r>
            <w:r>
              <w:rPr>
                <w:rFonts w:asciiTheme="minorHAnsi" w:hAnsiTheme="minorHAnsi" w:cstheme="minorHAnsi"/>
                <w:sz w:val="20"/>
                <w:szCs w:val="20"/>
              </w:rPr>
              <w:t xml:space="preserve"> in green treatments. </w:t>
            </w:r>
            <w:r>
              <w:rPr>
                <w:rFonts w:asciiTheme="minorHAnsi" w:hAnsiTheme="minorHAnsi" w:cstheme="minorHAnsi"/>
                <w:i/>
                <w:iCs/>
                <w:sz w:val="20"/>
                <w:szCs w:val="20"/>
              </w:rPr>
              <w:t>(2a.)</w:t>
            </w:r>
          </w:p>
        </w:tc>
        <w:tc>
          <w:tcPr>
            <w:tcW w:w="6930" w:type="dxa"/>
          </w:tcPr>
          <w:p w14:paraId="409FD4A9" w14:textId="7A9AA65D" w:rsidR="006F6B24" w:rsidRPr="000B2036" w:rsidRDefault="006F6B24" w:rsidP="006F6B24">
            <w:pPr>
              <w:pStyle w:val="TableParagraph"/>
              <w:rPr>
                <w:rFonts w:asciiTheme="minorHAnsi" w:hAnsiTheme="minorHAnsi" w:cstheme="minorHAnsi"/>
                <w:sz w:val="20"/>
                <w:szCs w:val="20"/>
              </w:rPr>
            </w:pPr>
            <w:r w:rsidRPr="000B2036">
              <w:rPr>
                <w:rFonts w:asciiTheme="minorHAnsi" w:hAnsiTheme="minorHAnsi" w:cstheme="minorHAnsi"/>
                <w:sz w:val="20"/>
                <w:szCs w:val="20"/>
              </w:rPr>
              <w:t>No monitoring results to date</w:t>
            </w:r>
            <w:r>
              <w:rPr>
                <w:rFonts w:asciiTheme="minorHAnsi" w:hAnsiTheme="minorHAnsi" w:cstheme="minorHAnsi"/>
                <w:sz w:val="20"/>
                <w:szCs w:val="20"/>
              </w:rPr>
              <w:t>. Pre-treatment data was collected in the Rainbow TS area in summer 2020. Silvicultural prescriptions for the Bald TS were developed in conjunction with the Science Team with a focus on different methods to increase post-harvest regeneration. Pre-treatment plots for Bald were established in summer 2021.</w:t>
            </w:r>
            <w:r w:rsidR="00A56F29">
              <w:rPr>
                <w:rFonts w:asciiTheme="minorHAnsi" w:hAnsiTheme="minorHAnsi" w:cstheme="minorHAnsi"/>
                <w:sz w:val="20"/>
                <w:szCs w:val="20"/>
              </w:rPr>
              <w:t xml:space="preserve"> </w:t>
            </w:r>
            <w:r w:rsidR="000C5AD4">
              <w:rPr>
                <w:rFonts w:asciiTheme="minorHAnsi" w:hAnsiTheme="minorHAnsi" w:cstheme="minorHAnsi"/>
                <w:sz w:val="20"/>
                <w:szCs w:val="20"/>
              </w:rPr>
              <w:t>Rainbow TS treatment was completed in 2023. Bald TS has not yet been treated.</w:t>
            </w:r>
          </w:p>
        </w:tc>
        <w:tc>
          <w:tcPr>
            <w:tcW w:w="2070" w:type="dxa"/>
          </w:tcPr>
          <w:p w14:paraId="432C78FD" w14:textId="77777777" w:rsidR="00F64F10" w:rsidRPr="00F64F10" w:rsidRDefault="00F64F10" w:rsidP="00F64F10">
            <w:pPr>
              <w:pStyle w:val="TableParagraph"/>
              <w:rPr>
                <w:rFonts w:asciiTheme="minorHAnsi" w:hAnsiTheme="minorHAnsi" w:cstheme="minorHAnsi"/>
                <w:i/>
                <w:iCs/>
                <w:sz w:val="20"/>
                <w:szCs w:val="20"/>
              </w:rPr>
            </w:pPr>
            <w:r>
              <w:rPr>
                <w:rFonts w:asciiTheme="minorHAnsi" w:hAnsiTheme="minorHAnsi" w:cstheme="minorHAnsi"/>
                <w:i/>
                <w:iCs/>
                <w:sz w:val="20"/>
                <w:szCs w:val="20"/>
              </w:rPr>
              <w:t>No changes to SBEADMR needed at this time.</w:t>
            </w:r>
          </w:p>
          <w:p w14:paraId="4EAE40E5" w14:textId="344573E3" w:rsidR="006F6B24" w:rsidRPr="000B2036" w:rsidRDefault="006F6B24" w:rsidP="006F6B24">
            <w:pPr>
              <w:pStyle w:val="TableParagraph"/>
              <w:rPr>
                <w:rFonts w:asciiTheme="minorHAnsi" w:hAnsiTheme="minorHAnsi" w:cstheme="minorHAnsi"/>
                <w:b/>
                <w:sz w:val="20"/>
                <w:szCs w:val="20"/>
              </w:rPr>
            </w:pPr>
          </w:p>
        </w:tc>
        <w:tc>
          <w:tcPr>
            <w:tcW w:w="1980" w:type="dxa"/>
          </w:tcPr>
          <w:p w14:paraId="0DFC6171" w14:textId="5276D7E6" w:rsidR="006F6B24" w:rsidRPr="00BC730F" w:rsidRDefault="006F6B24" w:rsidP="006F6B24">
            <w:pPr>
              <w:pStyle w:val="TableParagraph"/>
              <w:rPr>
                <w:rFonts w:asciiTheme="minorHAnsi" w:hAnsiTheme="minorHAnsi" w:cstheme="minorHAnsi"/>
                <w:bCs/>
                <w:i/>
                <w:iCs/>
                <w:sz w:val="20"/>
                <w:szCs w:val="20"/>
              </w:rPr>
            </w:pPr>
          </w:p>
        </w:tc>
        <w:tc>
          <w:tcPr>
            <w:tcW w:w="3690" w:type="dxa"/>
          </w:tcPr>
          <w:p w14:paraId="2632F422" w14:textId="4D5A3A46" w:rsidR="006F6B24" w:rsidRPr="000B2036" w:rsidRDefault="006F6B24" w:rsidP="006F6B24">
            <w:pPr>
              <w:pStyle w:val="TableParagraph"/>
              <w:rPr>
                <w:rFonts w:asciiTheme="minorHAnsi" w:hAnsiTheme="minorHAnsi" w:cstheme="minorHAnsi"/>
                <w:sz w:val="20"/>
                <w:szCs w:val="20"/>
              </w:rPr>
            </w:pPr>
          </w:p>
        </w:tc>
      </w:tr>
      <w:tr w:rsidR="006F6B24" w:rsidRPr="000B2036" w14:paraId="793C79C4" w14:textId="77777777" w:rsidTr="505C20AD">
        <w:trPr>
          <w:trHeight w:val="1728"/>
        </w:trPr>
        <w:tc>
          <w:tcPr>
            <w:tcW w:w="2520" w:type="dxa"/>
          </w:tcPr>
          <w:p w14:paraId="35F2A295" w14:textId="77777777" w:rsidR="006F6B24" w:rsidRDefault="006F6B24" w:rsidP="006F6B24">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Promote aspen regeneration in live stands, with emphasis on those affected by Sudden Aspen Decline </w:t>
            </w:r>
          </w:p>
          <w:p w14:paraId="124886EB" w14:textId="634DACFF" w:rsidR="006F6B24" w:rsidRPr="000B2036" w:rsidRDefault="006F6B24" w:rsidP="006F6B24">
            <w:pPr>
              <w:pStyle w:val="TableParagraph"/>
              <w:rPr>
                <w:rFonts w:asciiTheme="minorHAnsi" w:hAnsiTheme="minorHAnsi" w:cstheme="minorHAnsi"/>
                <w:sz w:val="20"/>
                <w:szCs w:val="20"/>
              </w:rPr>
            </w:pPr>
            <w:r w:rsidRPr="00BF032C">
              <w:rPr>
                <w:rFonts w:asciiTheme="minorHAnsi" w:hAnsiTheme="minorHAnsi" w:cstheme="minorHAnsi"/>
                <w:sz w:val="16"/>
                <w:szCs w:val="16"/>
              </w:rPr>
              <w:t>(Resilience Goal 1.c., ROD, p. 4)</w:t>
            </w:r>
          </w:p>
        </w:tc>
        <w:tc>
          <w:tcPr>
            <w:tcW w:w="1620" w:type="dxa"/>
          </w:tcPr>
          <w:p w14:paraId="2E0283C3" w14:textId="77777777" w:rsidR="006F6B24" w:rsidRDefault="006F6B24" w:rsidP="006F6B24">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Science Team conduct pre- </w:t>
            </w:r>
            <w:r>
              <w:rPr>
                <w:rFonts w:asciiTheme="minorHAnsi" w:hAnsiTheme="minorHAnsi" w:cstheme="minorHAnsi"/>
                <w:sz w:val="20"/>
                <w:szCs w:val="20"/>
              </w:rPr>
              <w:t>and</w:t>
            </w:r>
            <w:r w:rsidRPr="000B2036">
              <w:rPr>
                <w:rFonts w:asciiTheme="minorHAnsi" w:hAnsiTheme="minorHAnsi" w:cstheme="minorHAnsi"/>
                <w:sz w:val="20"/>
                <w:szCs w:val="20"/>
              </w:rPr>
              <w:t xml:space="preserve"> post- treatment surveys of forest stand structure, tree regeneration, and species composition</w:t>
            </w:r>
            <w:r>
              <w:rPr>
                <w:rFonts w:asciiTheme="minorHAnsi" w:hAnsiTheme="minorHAnsi" w:cstheme="minorHAnsi"/>
                <w:sz w:val="20"/>
                <w:szCs w:val="20"/>
              </w:rPr>
              <w:t xml:space="preserve"> in aspen </w:t>
            </w:r>
            <w:proofErr w:type="gramStart"/>
            <w:r>
              <w:rPr>
                <w:rFonts w:asciiTheme="minorHAnsi" w:hAnsiTheme="minorHAnsi" w:cstheme="minorHAnsi"/>
                <w:sz w:val="20"/>
                <w:szCs w:val="20"/>
              </w:rPr>
              <w:t>treatments</w:t>
            </w:r>
            <w:proofErr w:type="gramEnd"/>
          </w:p>
          <w:p w14:paraId="036CAC8F" w14:textId="64EC47FF" w:rsidR="00060533" w:rsidRPr="00060533" w:rsidRDefault="00060533" w:rsidP="006F6B24">
            <w:pPr>
              <w:pStyle w:val="TableParagraph"/>
              <w:rPr>
                <w:rFonts w:asciiTheme="minorHAnsi" w:hAnsiTheme="minorHAnsi" w:cstheme="minorHAnsi"/>
                <w:i/>
                <w:iCs/>
                <w:sz w:val="20"/>
                <w:szCs w:val="20"/>
              </w:rPr>
            </w:pPr>
            <w:r>
              <w:rPr>
                <w:rFonts w:asciiTheme="minorHAnsi" w:hAnsiTheme="minorHAnsi" w:cstheme="minorHAnsi"/>
                <w:i/>
                <w:iCs/>
                <w:sz w:val="20"/>
                <w:szCs w:val="20"/>
              </w:rPr>
              <w:t>(7</w:t>
            </w:r>
            <w:proofErr w:type="gramStart"/>
            <w:r>
              <w:rPr>
                <w:rFonts w:asciiTheme="minorHAnsi" w:hAnsiTheme="minorHAnsi" w:cstheme="minorHAnsi"/>
                <w:i/>
                <w:iCs/>
                <w:sz w:val="20"/>
                <w:szCs w:val="20"/>
              </w:rPr>
              <w:t>a,b</w:t>
            </w:r>
            <w:proofErr w:type="gramEnd"/>
            <w:r>
              <w:rPr>
                <w:rFonts w:asciiTheme="minorHAnsi" w:hAnsiTheme="minorHAnsi" w:cstheme="minorHAnsi"/>
                <w:i/>
                <w:iCs/>
                <w:sz w:val="20"/>
                <w:szCs w:val="20"/>
              </w:rPr>
              <w:t>)</w:t>
            </w:r>
          </w:p>
        </w:tc>
        <w:tc>
          <w:tcPr>
            <w:tcW w:w="6930" w:type="dxa"/>
          </w:tcPr>
          <w:p w14:paraId="1174B5F0" w14:textId="615EAAEA" w:rsidR="000C5AD4" w:rsidRDefault="000C5AD4" w:rsidP="00036884">
            <w:pPr>
              <w:pStyle w:val="TableParagraph"/>
              <w:rPr>
                <w:rFonts w:asciiTheme="minorHAnsi" w:hAnsiTheme="minorHAnsi" w:cstheme="minorHAnsi"/>
                <w:sz w:val="20"/>
                <w:szCs w:val="20"/>
              </w:rPr>
            </w:pPr>
            <w:r>
              <w:rPr>
                <w:rFonts w:asciiTheme="minorHAnsi" w:hAnsiTheme="minorHAnsi" w:cstheme="minorHAnsi"/>
                <w:sz w:val="20"/>
                <w:szCs w:val="20"/>
              </w:rPr>
              <w:t xml:space="preserve"> The Science Team resampled the Terror Creek Adaptive Silviculture Assessment Timber Sale in Summer 2022 </w:t>
            </w:r>
            <w:r w:rsidR="0048612A">
              <w:rPr>
                <w:rFonts w:asciiTheme="minorHAnsi" w:hAnsiTheme="minorHAnsi" w:cstheme="minorHAnsi"/>
                <w:sz w:val="20"/>
                <w:szCs w:val="20"/>
              </w:rPr>
              <w:t xml:space="preserve">(12 years post-harvest) </w:t>
            </w:r>
            <w:proofErr w:type="gramStart"/>
            <w:r>
              <w:rPr>
                <w:rFonts w:asciiTheme="minorHAnsi" w:hAnsiTheme="minorHAnsi" w:cstheme="minorHAnsi"/>
                <w:sz w:val="20"/>
                <w:szCs w:val="20"/>
              </w:rPr>
              <w:t>in an effort to</w:t>
            </w:r>
            <w:proofErr w:type="gramEnd"/>
            <w:r>
              <w:rPr>
                <w:rFonts w:asciiTheme="minorHAnsi" w:hAnsiTheme="minorHAnsi" w:cstheme="minorHAnsi"/>
                <w:sz w:val="20"/>
                <w:szCs w:val="20"/>
              </w:rPr>
              <w:t xml:space="preserve"> learn more about management’s role in promoting aspen regeneration. </w:t>
            </w:r>
            <w:r w:rsidR="0048612A">
              <w:rPr>
                <w:rFonts w:asciiTheme="minorHAnsi" w:hAnsiTheme="minorHAnsi" w:cstheme="minorHAnsi"/>
                <w:sz w:val="20"/>
                <w:szCs w:val="20"/>
              </w:rPr>
              <w:t>Science Team interpretation of the new results are:</w:t>
            </w:r>
          </w:p>
          <w:p w14:paraId="3E1271BB" w14:textId="77777777" w:rsidR="0048612A" w:rsidRDefault="0048612A" w:rsidP="00036884">
            <w:pPr>
              <w:pStyle w:val="TableParagraph"/>
              <w:rPr>
                <w:rFonts w:asciiTheme="minorHAnsi" w:hAnsiTheme="minorHAnsi" w:cstheme="minorHAnsi"/>
                <w:sz w:val="20"/>
                <w:szCs w:val="20"/>
              </w:rPr>
            </w:pPr>
          </w:p>
          <w:p w14:paraId="1A8B396F" w14:textId="0AE3313A" w:rsidR="0048612A" w:rsidRPr="0048612A" w:rsidRDefault="0048612A" w:rsidP="00036884">
            <w:pPr>
              <w:pStyle w:val="TableParagraph"/>
              <w:rPr>
                <w:rFonts w:asciiTheme="minorHAnsi" w:hAnsiTheme="minorHAnsi" w:cstheme="minorHAnsi"/>
                <w:sz w:val="20"/>
                <w:szCs w:val="20"/>
                <w:highlight w:val="yellow"/>
              </w:rPr>
            </w:pPr>
            <w:r w:rsidRPr="0048612A">
              <w:rPr>
                <w:rFonts w:asciiTheme="minorHAnsi" w:hAnsiTheme="minorHAnsi" w:cstheme="minorHAnsi"/>
                <w:sz w:val="20"/>
                <w:szCs w:val="20"/>
                <w:highlight w:val="yellow"/>
              </w:rPr>
              <w:t xml:space="preserve">Overall, based on the sprouting density metric alone, early identification of aspen stands that are starting to show symptoms of SAD and </w:t>
            </w:r>
            <w:proofErr w:type="spellStart"/>
            <w:r w:rsidRPr="0048612A">
              <w:rPr>
                <w:rFonts w:asciiTheme="minorHAnsi" w:hAnsiTheme="minorHAnsi" w:cstheme="minorHAnsi"/>
                <w:sz w:val="20"/>
                <w:szCs w:val="20"/>
                <w:highlight w:val="yellow"/>
              </w:rPr>
              <w:t>clearfelling</w:t>
            </w:r>
            <w:proofErr w:type="spellEnd"/>
            <w:r w:rsidRPr="0048612A">
              <w:rPr>
                <w:rFonts w:asciiTheme="minorHAnsi" w:hAnsiTheme="minorHAnsi" w:cstheme="minorHAnsi"/>
                <w:sz w:val="20"/>
                <w:szCs w:val="20"/>
                <w:highlight w:val="yellow"/>
              </w:rPr>
              <w:t xml:space="preserve"> them would provide opportunities to get substantial initial sprouting AND maintain high levels of sapling density (9500 stems/acre) at least 12 years post treatment.  Those stands that had moderate SAD mortality (20-60% SAD mortality) did initially produce substantial higher initial sprouting after </w:t>
            </w:r>
            <w:proofErr w:type="spellStart"/>
            <w:r w:rsidRPr="0048612A">
              <w:rPr>
                <w:rFonts w:asciiTheme="minorHAnsi" w:hAnsiTheme="minorHAnsi" w:cstheme="minorHAnsi"/>
                <w:sz w:val="20"/>
                <w:szCs w:val="20"/>
                <w:highlight w:val="yellow"/>
              </w:rPr>
              <w:t>clearfelling</w:t>
            </w:r>
            <w:proofErr w:type="spellEnd"/>
            <w:r w:rsidRPr="0048612A">
              <w:rPr>
                <w:rFonts w:asciiTheme="minorHAnsi" w:hAnsiTheme="minorHAnsi" w:cstheme="minorHAnsi"/>
                <w:sz w:val="20"/>
                <w:szCs w:val="20"/>
                <w:highlight w:val="yellow"/>
              </w:rPr>
              <w:t xml:space="preserve"> than the uncut stands, but that difference narrowed through time.  In these stands, </w:t>
            </w:r>
            <w:proofErr w:type="spellStart"/>
            <w:r w:rsidRPr="0048612A">
              <w:rPr>
                <w:rFonts w:asciiTheme="minorHAnsi" w:hAnsiTheme="minorHAnsi" w:cstheme="minorHAnsi"/>
                <w:sz w:val="20"/>
                <w:szCs w:val="20"/>
                <w:highlight w:val="yellow"/>
              </w:rPr>
              <w:t>clearfelling</w:t>
            </w:r>
            <w:proofErr w:type="spellEnd"/>
            <w:r w:rsidRPr="0048612A">
              <w:rPr>
                <w:rFonts w:asciiTheme="minorHAnsi" w:hAnsiTheme="minorHAnsi" w:cstheme="minorHAnsi"/>
                <w:sz w:val="20"/>
                <w:szCs w:val="20"/>
                <w:highlight w:val="yellow"/>
              </w:rPr>
              <w:t xml:space="preserve"> could be used to initiate a high amount of sprouting to offset browsing pressure and reduce future woody fuel loads.  In areas that had high SAD mortality (&gt;60% mortality), </w:t>
            </w:r>
            <w:proofErr w:type="spellStart"/>
            <w:r w:rsidRPr="0048612A">
              <w:rPr>
                <w:rFonts w:asciiTheme="minorHAnsi" w:hAnsiTheme="minorHAnsi" w:cstheme="minorHAnsi"/>
                <w:sz w:val="20"/>
                <w:szCs w:val="20"/>
                <w:highlight w:val="yellow"/>
              </w:rPr>
              <w:t>clearfelling</w:t>
            </w:r>
            <w:proofErr w:type="spellEnd"/>
            <w:r w:rsidRPr="0048612A">
              <w:rPr>
                <w:rFonts w:asciiTheme="minorHAnsi" w:hAnsiTheme="minorHAnsi" w:cstheme="minorHAnsi"/>
                <w:sz w:val="20"/>
                <w:szCs w:val="20"/>
                <w:highlight w:val="yellow"/>
              </w:rPr>
              <w:t xml:space="preserve"> didn’t appreciatively increase the sprouting initially or 12 years post.  </w:t>
            </w:r>
            <w:proofErr w:type="spellStart"/>
            <w:r w:rsidRPr="0048612A">
              <w:rPr>
                <w:rFonts w:asciiTheme="minorHAnsi" w:hAnsiTheme="minorHAnsi" w:cstheme="minorHAnsi"/>
                <w:sz w:val="20"/>
                <w:szCs w:val="20"/>
                <w:highlight w:val="yellow"/>
              </w:rPr>
              <w:t>Clearfelling</w:t>
            </w:r>
            <w:proofErr w:type="spellEnd"/>
            <w:r w:rsidRPr="0048612A">
              <w:rPr>
                <w:rFonts w:asciiTheme="minorHAnsi" w:hAnsiTheme="minorHAnsi" w:cstheme="minorHAnsi"/>
                <w:sz w:val="20"/>
                <w:szCs w:val="20"/>
                <w:highlight w:val="yellow"/>
              </w:rPr>
              <w:t xml:space="preserve"> would be appropriate if attempting to reduce surface fuel loads.  </w:t>
            </w:r>
          </w:p>
          <w:p w14:paraId="48E440E8" w14:textId="779ADF04" w:rsidR="0048612A" w:rsidRPr="0048612A" w:rsidRDefault="0048612A" w:rsidP="00036884">
            <w:pPr>
              <w:pStyle w:val="TableParagraph"/>
              <w:rPr>
                <w:rFonts w:asciiTheme="minorHAnsi" w:hAnsiTheme="minorHAnsi" w:cstheme="minorHAnsi"/>
                <w:sz w:val="20"/>
                <w:szCs w:val="20"/>
                <w:highlight w:val="yellow"/>
              </w:rPr>
            </w:pPr>
          </w:p>
          <w:p w14:paraId="1C6F0CD2" w14:textId="77777777" w:rsidR="0048612A" w:rsidRPr="0048612A" w:rsidRDefault="0048612A" w:rsidP="0048612A">
            <w:pPr>
              <w:pStyle w:val="TableParagraph"/>
              <w:rPr>
                <w:rFonts w:asciiTheme="minorHAnsi" w:hAnsiTheme="minorHAnsi" w:cstheme="minorHAnsi"/>
                <w:sz w:val="20"/>
                <w:szCs w:val="20"/>
                <w:highlight w:val="yellow"/>
              </w:rPr>
            </w:pPr>
            <w:r w:rsidRPr="0048612A">
              <w:rPr>
                <w:rFonts w:asciiTheme="minorHAnsi" w:hAnsiTheme="minorHAnsi" w:cstheme="minorHAnsi"/>
                <w:sz w:val="20"/>
                <w:szCs w:val="20"/>
                <w:highlight w:val="yellow"/>
              </w:rPr>
              <w:t xml:space="preserve">Overall, </w:t>
            </w:r>
            <w:proofErr w:type="spellStart"/>
            <w:r w:rsidRPr="0048612A">
              <w:rPr>
                <w:rFonts w:asciiTheme="minorHAnsi" w:hAnsiTheme="minorHAnsi" w:cstheme="minorHAnsi"/>
                <w:sz w:val="20"/>
                <w:szCs w:val="20"/>
                <w:highlight w:val="yellow"/>
              </w:rPr>
              <w:t>clearfelling</w:t>
            </w:r>
            <w:proofErr w:type="spellEnd"/>
            <w:r w:rsidRPr="0048612A">
              <w:rPr>
                <w:rFonts w:asciiTheme="minorHAnsi" w:hAnsiTheme="minorHAnsi" w:cstheme="minorHAnsi"/>
                <w:sz w:val="20"/>
                <w:szCs w:val="20"/>
                <w:highlight w:val="yellow"/>
              </w:rPr>
              <w:t xml:space="preserve"> in the low and moderate SAD impacted stands allowed faster growth of the sprouts than that observed in the uncut stands.  This faster growth initially and 12 years post-harvest and the increase in sprout density ensures sufficient recruitment into the overstory and reduces the impact of browsing.</w:t>
            </w:r>
          </w:p>
          <w:p w14:paraId="6B4B830B" w14:textId="77777777" w:rsidR="0048612A" w:rsidRPr="0048612A" w:rsidRDefault="0048612A" w:rsidP="0048612A">
            <w:pPr>
              <w:pStyle w:val="TableParagraph"/>
              <w:rPr>
                <w:rFonts w:asciiTheme="minorHAnsi" w:hAnsiTheme="minorHAnsi" w:cstheme="minorHAnsi"/>
                <w:sz w:val="20"/>
                <w:szCs w:val="20"/>
                <w:highlight w:val="yellow"/>
              </w:rPr>
            </w:pPr>
          </w:p>
          <w:p w14:paraId="0B6A9B63" w14:textId="4AEF2406" w:rsidR="0048612A" w:rsidRDefault="0048612A" w:rsidP="0048612A">
            <w:pPr>
              <w:pStyle w:val="TableParagraph"/>
              <w:rPr>
                <w:rFonts w:asciiTheme="minorHAnsi" w:hAnsiTheme="minorHAnsi" w:cstheme="minorHAnsi"/>
                <w:sz w:val="20"/>
                <w:szCs w:val="20"/>
              </w:rPr>
            </w:pPr>
            <w:r w:rsidRPr="0048612A">
              <w:rPr>
                <w:rFonts w:asciiTheme="minorHAnsi" w:hAnsiTheme="minorHAnsi" w:cstheme="minorHAnsi"/>
                <w:sz w:val="20"/>
                <w:szCs w:val="20"/>
                <w:highlight w:val="yellow"/>
              </w:rPr>
              <w:t>A similar trend of fast height growth was observed in the high mortality SAD stands whether they were cut or not.  It seems that removing the overstory via harvesting or through high levels of SAD mortality provides more resources (</w:t>
            </w:r>
            <w:proofErr w:type="gramStart"/>
            <w:r w:rsidRPr="0048612A">
              <w:rPr>
                <w:rFonts w:asciiTheme="minorHAnsi" w:hAnsiTheme="minorHAnsi" w:cstheme="minorHAnsi"/>
                <w:sz w:val="20"/>
                <w:szCs w:val="20"/>
                <w:highlight w:val="yellow"/>
              </w:rPr>
              <w:t>I.e.</w:t>
            </w:r>
            <w:proofErr w:type="gramEnd"/>
            <w:r w:rsidRPr="0048612A">
              <w:rPr>
                <w:rFonts w:asciiTheme="minorHAnsi" w:hAnsiTheme="minorHAnsi" w:cstheme="minorHAnsi"/>
                <w:sz w:val="20"/>
                <w:szCs w:val="20"/>
                <w:highlight w:val="yellow"/>
              </w:rPr>
              <w:t xml:space="preserve"> more light) for sprout growth.</w:t>
            </w:r>
          </w:p>
          <w:p w14:paraId="20C5CE3D" w14:textId="77777777" w:rsidR="000C5AD4" w:rsidRDefault="000C5AD4" w:rsidP="00036884">
            <w:pPr>
              <w:pStyle w:val="TableParagraph"/>
              <w:rPr>
                <w:rFonts w:asciiTheme="minorHAnsi" w:hAnsiTheme="minorHAnsi" w:cstheme="minorHAnsi"/>
                <w:sz w:val="20"/>
                <w:szCs w:val="20"/>
              </w:rPr>
            </w:pPr>
          </w:p>
          <w:p w14:paraId="7B249ADB" w14:textId="45747BFF" w:rsidR="006F6B24" w:rsidRPr="000C5AD4" w:rsidRDefault="000C5AD4" w:rsidP="00036884">
            <w:pPr>
              <w:pStyle w:val="TableParagraph"/>
              <w:rPr>
                <w:rFonts w:asciiTheme="minorHAnsi" w:hAnsiTheme="minorHAnsi" w:cstheme="minorHAnsi"/>
                <w:i/>
                <w:iCs/>
                <w:sz w:val="20"/>
                <w:szCs w:val="20"/>
              </w:rPr>
            </w:pPr>
            <w:r w:rsidRPr="000C5AD4">
              <w:rPr>
                <w:rFonts w:asciiTheme="minorHAnsi" w:hAnsiTheme="minorHAnsi" w:cstheme="minorHAnsi"/>
                <w:i/>
                <w:iCs/>
                <w:sz w:val="20"/>
                <w:szCs w:val="20"/>
              </w:rPr>
              <w:t xml:space="preserve">More detailed findings can be found in the 2023 SBEADMR Science Matrix. </w:t>
            </w:r>
          </w:p>
        </w:tc>
        <w:tc>
          <w:tcPr>
            <w:tcW w:w="2070" w:type="dxa"/>
          </w:tcPr>
          <w:p w14:paraId="4655BCB3" w14:textId="524F2DFF" w:rsidR="006F6B24" w:rsidRPr="00793E71" w:rsidRDefault="00F64F10" w:rsidP="006F6B24">
            <w:pPr>
              <w:pStyle w:val="TableParagraph"/>
              <w:rPr>
                <w:rFonts w:asciiTheme="minorHAnsi" w:hAnsiTheme="minorHAnsi" w:cstheme="minorHAnsi"/>
                <w:bCs/>
                <w:sz w:val="20"/>
                <w:szCs w:val="20"/>
              </w:rPr>
            </w:pPr>
            <w:r w:rsidRPr="00F64F10">
              <w:rPr>
                <w:rFonts w:asciiTheme="minorHAnsi" w:hAnsiTheme="minorHAnsi" w:cstheme="minorHAnsi"/>
                <w:bCs/>
                <w:sz w:val="20"/>
                <w:szCs w:val="20"/>
                <w:highlight w:val="yellow"/>
              </w:rPr>
              <w:t>Recommend that treatments to regenerate aspen focus on low to medium SAD-impacted stands. AMG recognizes that some aspen treatments have goals beyond/in addition to spurring regeneration so other considerations will factor into treatment prioritization.</w:t>
            </w:r>
          </w:p>
        </w:tc>
        <w:tc>
          <w:tcPr>
            <w:tcW w:w="1980" w:type="dxa"/>
          </w:tcPr>
          <w:p w14:paraId="6234F5B8" w14:textId="2E882BC6" w:rsidR="006F6B24" w:rsidRPr="00BC730F" w:rsidRDefault="006F6B24" w:rsidP="006F6B24">
            <w:pPr>
              <w:pStyle w:val="TableParagraph"/>
              <w:rPr>
                <w:rFonts w:asciiTheme="minorHAnsi" w:hAnsiTheme="minorHAnsi" w:cstheme="minorHAnsi"/>
                <w:bCs/>
                <w:i/>
                <w:iCs/>
                <w:sz w:val="20"/>
                <w:szCs w:val="20"/>
              </w:rPr>
            </w:pPr>
          </w:p>
        </w:tc>
        <w:tc>
          <w:tcPr>
            <w:tcW w:w="3690" w:type="dxa"/>
          </w:tcPr>
          <w:p w14:paraId="24C373C1" w14:textId="5EA715FA" w:rsidR="006F6B24" w:rsidRPr="00F93C66" w:rsidRDefault="00F64F10" w:rsidP="006F6B24">
            <w:pPr>
              <w:pStyle w:val="TableParagraph"/>
              <w:rPr>
                <w:rFonts w:asciiTheme="minorHAnsi" w:hAnsiTheme="minorHAnsi" w:cstheme="minorHAnsi"/>
                <w:i/>
                <w:iCs/>
                <w:sz w:val="20"/>
                <w:szCs w:val="20"/>
              </w:rPr>
            </w:pPr>
            <w:r w:rsidRPr="007120CE">
              <w:rPr>
                <w:rFonts w:asciiTheme="minorHAnsi" w:hAnsiTheme="minorHAnsi" w:cstheme="minorHAnsi"/>
                <w:i/>
                <w:iCs/>
                <w:sz w:val="20"/>
                <w:szCs w:val="20"/>
                <w:highlight w:val="yellow"/>
              </w:rPr>
              <w:t>Science team (Sibold) raised the question of higher sprouting density is necessarily better in the context of climate change? Perhaps SAD-impacted stands are adapting to climate conditions through lower regeneration density.</w:t>
            </w:r>
          </w:p>
        </w:tc>
      </w:tr>
      <w:tr w:rsidR="006F6B24" w:rsidRPr="000B2036" w14:paraId="11199D02" w14:textId="77777777" w:rsidTr="505C20AD">
        <w:trPr>
          <w:trHeight w:val="2736"/>
        </w:trPr>
        <w:tc>
          <w:tcPr>
            <w:tcW w:w="2520" w:type="dxa"/>
          </w:tcPr>
          <w:p w14:paraId="21764228" w14:textId="77777777" w:rsidR="006F6B24" w:rsidRDefault="006F6B24" w:rsidP="006F6B24">
            <w:pPr>
              <w:pStyle w:val="TableParagraph"/>
              <w:rPr>
                <w:rFonts w:asciiTheme="minorHAnsi" w:hAnsiTheme="minorHAnsi" w:cstheme="minorHAnsi"/>
                <w:sz w:val="20"/>
                <w:szCs w:val="20"/>
              </w:rPr>
            </w:pPr>
            <w:r w:rsidRPr="000B2036">
              <w:rPr>
                <w:rFonts w:asciiTheme="minorHAnsi" w:hAnsiTheme="minorHAnsi" w:cstheme="minorHAnsi"/>
                <w:sz w:val="20"/>
                <w:szCs w:val="20"/>
              </w:rPr>
              <w:lastRenderedPageBreak/>
              <w:t xml:space="preserve">Provide commercial forest products to local dependent industries at a level commensurate with the GMUG Land and Resource Management Plan direction and in harmony with other Plan </w:t>
            </w:r>
            <w:proofErr w:type="gramStart"/>
            <w:r w:rsidRPr="000B2036">
              <w:rPr>
                <w:rFonts w:asciiTheme="minorHAnsi" w:hAnsiTheme="minorHAnsi" w:cstheme="minorHAnsi"/>
                <w:sz w:val="20"/>
                <w:szCs w:val="20"/>
              </w:rPr>
              <w:t>goals</w:t>
            </w:r>
            <w:proofErr w:type="gramEnd"/>
            <w:r w:rsidRPr="000B2036">
              <w:rPr>
                <w:rFonts w:asciiTheme="minorHAnsi" w:hAnsiTheme="minorHAnsi" w:cstheme="minorHAnsi"/>
                <w:sz w:val="20"/>
                <w:szCs w:val="20"/>
              </w:rPr>
              <w:t xml:space="preserve"> </w:t>
            </w:r>
          </w:p>
          <w:p w14:paraId="1A3BC749" w14:textId="2F27B5CD" w:rsidR="006F6B24" w:rsidRPr="00BF032C" w:rsidRDefault="006F6B24" w:rsidP="006F6B24">
            <w:pPr>
              <w:pStyle w:val="TableParagraph"/>
              <w:rPr>
                <w:rFonts w:asciiTheme="minorHAnsi" w:hAnsiTheme="minorHAnsi" w:cstheme="minorHAnsi"/>
                <w:sz w:val="16"/>
                <w:szCs w:val="16"/>
              </w:rPr>
            </w:pPr>
            <w:r w:rsidRPr="00BF032C">
              <w:rPr>
                <w:rFonts w:asciiTheme="minorHAnsi" w:hAnsiTheme="minorHAnsi" w:cstheme="minorHAnsi"/>
                <w:sz w:val="16"/>
                <w:szCs w:val="16"/>
              </w:rPr>
              <w:t>(Recovery Goal #1, ROD, p. 4)</w:t>
            </w:r>
          </w:p>
        </w:tc>
        <w:tc>
          <w:tcPr>
            <w:tcW w:w="1620" w:type="dxa"/>
          </w:tcPr>
          <w:p w14:paraId="0258F837" w14:textId="55238A91" w:rsidR="006F6B24" w:rsidRPr="00054A77" w:rsidRDefault="006F6B24" w:rsidP="006F6B24">
            <w:pPr>
              <w:pStyle w:val="TableParagraph"/>
              <w:rPr>
                <w:rFonts w:asciiTheme="minorHAnsi" w:hAnsiTheme="minorHAnsi" w:cstheme="minorHAnsi"/>
                <w:i/>
                <w:iCs/>
                <w:sz w:val="20"/>
                <w:szCs w:val="20"/>
              </w:rPr>
            </w:pPr>
            <w:r w:rsidRPr="000B2036">
              <w:rPr>
                <w:rFonts w:asciiTheme="minorHAnsi" w:hAnsiTheme="minorHAnsi" w:cstheme="minorHAnsi"/>
                <w:sz w:val="20"/>
                <w:szCs w:val="20"/>
              </w:rPr>
              <w:t xml:space="preserve">Science Team </w:t>
            </w:r>
            <w:r>
              <w:rPr>
                <w:rFonts w:asciiTheme="minorHAnsi" w:hAnsiTheme="minorHAnsi" w:cstheme="minorHAnsi"/>
                <w:sz w:val="20"/>
                <w:szCs w:val="20"/>
              </w:rPr>
              <w:t xml:space="preserve">&amp; GMUG staff </w:t>
            </w:r>
            <w:r w:rsidRPr="000B2036">
              <w:rPr>
                <w:rFonts w:asciiTheme="minorHAnsi" w:hAnsiTheme="minorHAnsi" w:cstheme="minorHAnsi"/>
                <w:sz w:val="20"/>
                <w:szCs w:val="20"/>
              </w:rPr>
              <w:t>compile and summarize timber production outputs and associated costs and revenue</w:t>
            </w:r>
            <w:r>
              <w:rPr>
                <w:rFonts w:asciiTheme="minorHAnsi" w:hAnsiTheme="minorHAnsi" w:cstheme="minorHAnsi"/>
                <w:sz w:val="20"/>
                <w:szCs w:val="20"/>
              </w:rPr>
              <w:t xml:space="preserve"> </w:t>
            </w:r>
            <w:r>
              <w:rPr>
                <w:rFonts w:asciiTheme="minorHAnsi" w:hAnsiTheme="minorHAnsi" w:cstheme="minorHAnsi"/>
                <w:i/>
                <w:iCs/>
                <w:sz w:val="20"/>
                <w:szCs w:val="20"/>
              </w:rPr>
              <w:t>(5a-d)</w:t>
            </w:r>
          </w:p>
        </w:tc>
        <w:tc>
          <w:tcPr>
            <w:tcW w:w="6930" w:type="dxa"/>
          </w:tcPr>
          <w:p w14:paraId="4A472F1C" w14:textId="758114C0" w:rsidR="006F6B24" w:rsidRPr="00696ED7" w:rsidRDefault="006F6B24" w:rsidP="006F6B24">
            <w:pPr>
              <w:pStyle w:val="TableParagraph"/>
              <w:rPr>
                <w:rFonts w:asciiTheme="minorHAnsi" w:hAnsiTheme="minorHAnsi" w:cstheme="minorHAnsi"/>
                <w:sz w:val="20"/>
                <w:szCs w:val="20"/>
              </w:rPr>
            </w:pPr>
            <w:r w:rsidRPr="00696ED7">
              <w:rPr>
                <w:rFonts w:asciiTheme="minorHAnsi" w:hAnsiTheme="minorHAnsi" w:cstheme="minorHAnsi"/>
                <w:sz w:val="20"/>
                <w:szCs w:val="20"/>
              </w:rPr>
              <w:t xml:space="preserve">Timber volume sold by fiscal year: 2017 </w:t>
            </w:r>
            <w:proofErr w:type="gramStart"/>
            <w:r w:rsidRPr="00696ED7">
              <w:rPr>
                <w:rFonts w:asciiTheme="minorHAnsi" w:hAnsiTheme="minorHAnsi" w:cstheme="minorHAnsi"/>
                <w:sz w:val="20"/>
                <w:szCs w:val="20"/>
              </w:rPr>
              <w:t>-  69,952</w:t>
            </w:r>
            <w:proofErr w:type="gramEnd"/>
            <w:r w:rsidRPr="00696ED7">
              <w:rPr>
                <w:rFonts w:asciiTheme="minorHAnsi" w:hAnsiTheme="minorHAnsi" w:cstheme="minorHAnsi"/>
                <w:sz w:val="20"/>
                <w:szCs w:val="20"/>
              </w:rPr>
              <w:t xml:space="preserve"> CCF; 2018 -  95,377 CCF; 2019 - 93,152 CCF; 2020 – 76,302 CCF. Commercial Revenue per volume ($/CCF): 2017 $9.16; 2018 $11.14</w:t>
            </w:r>
            <w:r w:rsidR="00192378">
              <w:rPr>
                <w:rFonts w:asciiTheme="minorHAnsi" w:hAnsiTheme="minorHAnsi" w:cstheme="minorHAnsi"/>
                <w:sz w:val="20"/>
                <w:szCs w:val="20"/>
              </w:rPr>
              <w:t>,</w:t>
            </w:r>
            <w:r w:rsidRPr="00696ED7">
              <w:rPr>
                <w:rFonts w:asciiTheme="minorHAnsi" w:hAnsiTheme="minorHAnsi" w:cstheme="minorHAnsi"/>
                <w:sz w:val="20"/>
                <w:szCs w:val="20"/>
              </w:rPr>
              <w:t xml:space="preserve"> </w:t>
            </w:r>
            <w:r w:rsidR="00192378" w:rsidRPr="00192378">
              <w:rPr>
                <w:rFonts w:asciiTheme="minorHAnsi" w:hAnsiTheme="minorHAnsi" w:cstheme="minorHAnsi"/>
                <w:sz w:val="20"/>
                <w:szCs w:val="20"/>
                <w:highlight w:val="yellow"/>
              </w:rPr>
              <w:t>2019: $4; 2020: $7</w:t>
            </w:r>
          </w:p>
          <w:p w14:paraId="09F7F090" w14:textId="07D46762" w:rsidR="006F6B24" w:rsidRPr="00696ED7" w:rsidRDefault="006F6B24" w:rsidP="006F6B24">
            <w:pPr>
              <w:pStyle w:val="TableParagraph"/>
              <w:rPr>
                <w:rFonts w:asciiTheme="minorHAnsi" w:hAnsiTheme="minorHAnsi" w:cstheme="minorHAnsi"/>
                <w:sz w:val="20"/>
                <w:szCs w:val="20"/>
              </w:rPr>
            </w:pPr>
          </w:p>
          <w:p w14:paraId="5390266B" w14:textId="77777777" w:rsidR="006F6B24" w:rsidRPr="00696ED7" w:rsidRDefault="006F6B24" w:rsidP="006F6B24">
            <w:pPr>
              <w:pStyle w:val="TableParagraph"/>
              <w:rPr>
                <w:rFonts w:asciiTheme="minorHAnsi" w:hAnsiTheme="minorHAnsi" w:cstheme="minorBidi"/>
                <w:sz w:val="20"/>
                <w:szCs w:val="20"/>
              </w:rPr>
            </w:pPr>
            <w:r w:rsidRPr="00696ED7">
              <w:rPr>
                <w:rFonts w:asciiTheme="minorHAnsi" w:hAnsiTheme="minorHAnsi" w:cstheme="minorBidi"/>
                <w:sz w:val="20"/>
                <w:szCs w:val="20"/>
              </w:rPr>
              <w:t>It is not clear at this point how administrative costs have changed over the course of the project. Personnel costs have been identified as the largest issue affecting cost with pre-sale activities being the largest component of cost.</w:t>
            </w:r>
          </w:p>
          <w:p w14:paraId="5C1EC64A" w14:textId="77777777" w:rsidR="006F6B24" w:rsidRPr="00696ED7" w:rsidRDefault="006F6B24" w:rsidP="006F6B24">
            <w:pPr>
              <w:pStyle w:val="TableParagraph"/>
              <w:rPr>
                <w:rFonts w:asciiTheme="minorHAnsi" w:hAnsiTheme="minorHAnsi" w:cstheme="minorBidi"/>
                <w:sz w:val="20"/>
                <w:szCs w:val="20"/>
              </w:rPr>
            </w:pPr>
          </w:p>
          <w:p w14:paraId="7A8ECE60" w14:textId="03A4B5D7" w:rsidR="006F6B24" w:rsidRPr="00696ED7" w:rsidRDefault="006F6B24" w:rsidP="006F6B24">
            <w:pPr>
              <w:pStyle w:val="TableParagraph"/>
              <w:rPr>
                <w:rFonts w:asciiTheme="minorHAnsi" w:hAnsiTheme="minorHAnsi" w:cstheme="minorHAnsi"/>
                <w:sz w:val="20"/>
                <w:szCs w:val="20"/>
              </w:rPr>
            </w:pPr>
            <w:r w:rsidRPr="00696ED7">
              <w:rPr>
                <w:rFonts w:asciiTheme="minorHAnsi" w:hAnsiTheme="minorHAnsi" w:cstheme="minorBidi"/>
                <w:sz w:val="20"/>
                <w:szCs w:val="20"/>
              </w:rPr>
              <w:t xml:space="preserve">There are few small-scale producers utilizing timber from SBEADMR project. Majority of timber utilization is through sawlogs processed by Montrose Forest Products. SBEADMR has not had a significant impact on local producers’ </w:t>
            </w:r>
            <w:proofErr w:type="gramStart"/>
            <w:r w:rsidRPr="00696ED7">
              <w:rPr>
                <w:rFonts w:asciiTheme="minorHAnsi" w:hAnsiTheme="minorHAnsi" w:cstheme="minorBidi"/>
                <w:sz w:val="20"/>
                <w:szCs w:val="20"/>
              </w:rPr>
              <w:t>employment, but</w:t>
            </w:r>
            <w:proofErr w:type="gramEnd"/>
            <w:r w:rsidRPr="00696ED7">
              <w:rPr>
                <w:rFonts w:asciiTheme="minorHAnsi" w:hAnsiTheme="minorHAnsi" w:cstheme="minorBidi"/>
                <w:sz w:val="20"/>
                <w:szCs w:val="20"/>
              </w:rPr>
              <w:t xml:space="preserve"> is noted as important for local mill supply chain.</w:t>
            </w:r>
          </w:p>
          <w:p w14:paraId="27E7284E" w14:textId="77777777" w:rsidR="006F6B24" w:rsidRPr="00696ED7" w:rsidRDefault="006F6B24" w:rsidP="006F6B24">
            <w:pPr>
              <w:pStyle w:val="TableParagraph"/>
              <w:rPr>
                <w:rFonts w:asciiTheme="minorHAnsi" w:hAnsiTheme="minorHAnsi" w:cstheme="minorHAnsi"/>
                <w:sz w:val="20"/>
                <w:szCs w:val="20"/>
              </w:rPr>
            </w:pPr>
          </w:p>
          <w:p w14:paraId="2A370E67" w14:textId="5885B126" w:rsidR="006F6B24" w:rsidRPr="00696ED7" w:rsidRDefault="00B86296" w:rsidP="006F6B24">
            <w:pPr>
              <w:pStyle w:val="TableParagraph"/>
              <w:rPr>
                <w:rFonts w:asciiTheme="minorHAnsi" w:hAnsiTheme="minorHAnsi" w:cstheme="minorHAnsi"/>
                <w:sz w:val="20"/>
                <w:szCs w:val="20"/>
              </w:rPr>
            </w:pPr>
            <w:r>
              <w:rPr>
                <w:rFonts w:asciiTheme="minorHAnsi" w:hAnsiTheme="minorHAnsi" w:cstheme="minorHAnsi"/>
                <w:sz w:val="20"/>
                <w:szCs w:val="20"/>
              </w:rPr>
              <w:t>SBEADMR timber sales</w:t>
            </w:r>
            <w:r w:rsidR="00E66D19">
              <w:rPr>
                <w:rFonts w:asciiTheme="minorHAnsi" w:hAnsiTheme="minorHAnsi" w:cstheme="minorHAnsi"/>
                <w:sz w:val="20"/>
                <w:szCs w:val="20"/>
              </w:rPr>
              <w:t xml:space="preserve"> </w:t>
            </w:r>
            <w:r w:rsidR="006F6B24" w:rsidRPr="00696ED7">
              <w:rPr>
                <w:rFonts w:asciiTheme="minorHAnsi" w:hAnsiTheme="minorHAnsi" w:cstheme="minorHAnsi"/>
                <w:sz w:val="20"/>
                <w:szCs w:val="20"/>
              </w:rPr>
              <w:t>were consistent with GMUG Land Management Plan and the SBEADMR EIS. Pre-treatment Design Checklists were completed for all treatments, design features were identified and assigned the appropriate timber sale contract clauses and provisions and implemented on the ground in accordance with the contract.</w:t>
            </w:r>
          </w:p>
        </w:tc>
        <w:tc>
          <w:tcPr>
            <w:tcW w:w="2070" w:type="dxa"/>
          </w:tcPr>
          <w:p w14:paraId="381BE2BE" w14:textId="77777777" w:rsidR="00F64F10" w:rsidRPr="00F64F10" w:rsidRDefault="00F64F10" w:rsidP="00F64F10">
            <w:pPr>
              <w:pStyle w:val="TableParagraph"/>
              <w:rPr>
                <w:rFonts w:asciiTheme="minorHAnsi" w:hAnsiTheme="minorHAnsi" w:cstheme="minorHAnsi"/>
                <w:i/>
                <w:iCs/>
                <w:sz w:val="20"/>
                <w:szCs w:val="20"/>
              </w:rPr>
            </w:pPr>
            <w:r>
              <w:rPr>
                <w:rFonts w:asciiTheme="minorHAnsi" w:hAnsiTheme="minorHAnsi" w:cstheme="minorHAnsi"/>
                <w:i/>
                <w:iCs/>
                <w:sz w:val="20"/>
                <w:szCs w:val="20"/>
              </w:rPr>
              <w:t>No changes to SBEADMR needed at this time.</w:t>
            </w:r>
          </w:p>
          <w:p w14:paraId="1D3056A5" w14:textId="3588E1AC" w:rsidR="006F6B24" w:rsidRPr="002D507A" w:rsidRDefault="006F6B24" w:rsidP="006F6B24">
            <w:pPr>
              <w:pStyle w:val="TableParagraph"/>
              <w:rPr>
                <w:rFonts w:asciiTheme="minorHAnsi" w:hAnsiTheme="minorHAnsi" w:cstheme="minorHAnsi"/>
                <w:sz w:val="20"/>
                <w:szCs w:val="20"/>
                <w:highlight w:val="yellow"/>
              </w:rPr>
            </w:pPr>
          </w:p>
        </w:tc>
        <w:tc>
          <w:tcPr>
            <w:tcW w:w="1980" w:type="dxa"/>
          </w:tcPr>
          <w:p w14:paraId="6278BE86" w14:textId="6F960BCE" w:rsidR="006F6B24" w:rsidRPr="00BC730F" w:rsidRDefault="006F6B24" w:rsidP="006F6B24">
            <w:pPr>
              <w:pStyle w:val="TableParagraph"/>
              <w:rPr>
                <w:rFonts w:asciiTheme="minorHAnsi" w:hAnsiTheme="minorHAnsi" w:cstheme="minorHAnsi"/>
                <w:bCs/>
                <w:i/>
                <w:iCs/>
                <w:sz w:val="20"/>
                <w:szCs w:val="20"/>
              </w:rPr>
            </w:pPr>
          </w:p>
        </w:tc>
        <w:tc>
          <w:tcPr>
            <w:tcW w:w="3690" w:type="dxa"/>
          </w:tcPr>
          <w:p w14:paraId="4D31F890" w14:textId="19EA20C2" w:rsidR="006F6B24" w:rsidRPr="000B2036" w:rsidRDefault="006F6B24" w:rsidP="00CE5B90">
            <w:pPr>
              <w:pStyle w:val="TableParagraph"/>
              <w:rPr>
                <w:rFonts w:asciiTheme="minorHAnsi" w:hAnsiTheme="minorHAnsi" w:cstheme="minorHAnsi"/>
                <w:sz w:val="20"/>
                <w:szCs w:val="20"/>
              </w:rPr>
            </w:pPr>
          </w:p>
        </w:tc>
      </w:tr>
      <w:tr w:rsidR="006F6B24" w:rsidRPr="000B2036" w14:paraId="6B6ACC8C" w14:textId="77777777" w:rsidTr="505C20AD">
        <w:trPr>
          <w:trHeight w:val="2060"/>
        </w:trPr>
        <w:tc>
          <w:tcPr>
            <w:tcW w:w="2520" w:type="dxa"/>
          </w:tcPr>
          <w:p w14:paraId="71281D84" w14:textId="5FAAC5B3" w:rsidR="006F6B24" w:rsidRPr="000B2036" w:rsidRDefault="006F6B24" w:rsidP="006F6B24">
            <w:pPr>
              <w:pStyle w:val="TableParagraph"/>
              <w:rPr>
                <w:rFonts w:asciiTheme="minorHAnsi" w:hAnsiTheme="minorHAnsi" w:cstheme="minorHAnsi"/>
                <w:sz w:val="20"/>
                <w:szCs w:val="20"/>
              </w:rPr>
            </w:pPr>
            <w:proofErr w:type="gramStart"/>
            <w:r w:rsidRPr="000B2036">
              <w:rPr>
                <w:rFonts w:asciiTheme="minorHAnsi" w:hAnsiTheme="minorHAnsi" w:cstheme="minorHAnsi"/>
                <w:sz w:val="20"/>
                <w:szCs w:val="20"/>
              </w:rPr>
              <w:t>Subsequent to</w:t>
            </w:r>
            <w:proofErr w:type="gramEnd"/>
            <w:r w:rsidRPr="000B2036">
              <w:rPr>
                <w:rFonts w:asciiTheme="minorHAnsi" w:hAnsiTheme="minorHAnsi" w:cstheme="minorHAnsi"/>
                <w:sz w:val="20"/>
                <w:szCs w:val="20"/>
              </w:rPr>
              <w:t xml:space="preserve"> salvage, treat fuels, prepare sites, and re-establish and maintain forest cover via replanting where seed sources are lacking</w:t>
            </w:r>
            <w:r>
              <w:rPr>
                <w:rFonts w:asciiTheme="minorHAnsi" w:hAnsiTheme="minorHAnsi" w:cstheme="minorHAnsi"/>
                <w:sz w:val="20"/>
                <w:szCs w:val="20"/>
              </w:rPr>
              <w:t xml:space="preserve"> </w:t>
            </w:r>
            <w:r w:rsidRPr="00BF032C">
              <w:rPr>
                <w:rFonts w:asciiTheme="minorHAnsi" w:hAnsiTheme="minorHAnsi" w:cstheme="minorHAnsi"/>
                <w:sz w:val="16"/>
                <w:szCs w:val="16"/>
              </w:rPr>
              <w:t>(Recovery Goal #2, ROD, p. 4)</w:t>
            </w:r>
          </w:p>
        </w:tc>
        <w:tc>
          <w:tcPr>
            <w:tcW w:w="1620" w:type="dxa"/>
          </w:tcPr>
          <w:p w14:paraId="30A1ABCA" w14:textId="49D3B634" w:rsidR="006F6B24" w:rsidRDefault="006F6B24" w:rsidP="006F6B24">
            <w:pPr>
              <w:pStyle w:val="TableParagraph"/>
              <w:rPr>
                <w:rFonts w:asciiTheme="minorHAnsi" w:hAnsiTheme="minorHAnsi" w:cstheme="minorHAnsi"/>
                <w:sz w:val="20"/>
                <w:szCs w:val="20"/>
              </w:rPr>
            </w:pPr>
            <w:r>
              <w:rPr>
                <w:rFonts w:asciiTheme="minorHAnsi" w:hAnsiTheme="minorHAnsi" w:cstheme="minorHAnsi"/>
                <w:sz w:val="20"/>
                <w:szCs w:val="20"/>
              </w:rPr>
              <w:t xml:space="preserve">GMUG timber staff perform stocking surveys at </w:t>
            </w:r>
            <w:proofErr w:type="gramStart"/>
            <w:r>
              <w:rPr>
                <w:rFonts w:asciiTheme="minorHAnsi" w:hAnsiTheme="minorHAnsi" w:cstheme="minorHAnsi"/>
                <w:sz w:val="20"/>
                <w:szCs w:val="20"/>
              </w:rPr>
              <w:t>1, 3, and 5 years</w:t>
            </w:r>
            <w:proofErr w:type="gramEnd"/>
            <w:r>
              <w:rPr>
                <w:rFonts w:asciiTheme="minorHAnsi" w:hAnsiTheme="minorHAnsi" w:cstheme="minorHAnsi"/>
                <w:sz w:val="20"/>
                <w:szCs w:val="20"/>
              </w:rPr>
              <w:t xml:space="preserve"> post-harvest.</w:t>
            </w:r>
          </w:p>
          <w:p w14:paraId="3AC105C6" w14:textId="77777777" w:rsidR="006F6B24" w:rsidRDefault="006F6B24" w:rsidP="006F6B24">
            <w:pPr>
              <w:pStyle w:val="TableParagraph"/>
              <w:rPr>
                <w:rFonts w:asciiTheme="minorHAnsi" w:hAnsiTheme="minorHAnsi" w:cstheme="minorHAnsi"/>
                <w:sz w:val="20"/>
                <w:szCs w:val="20"/>
              </w:rPr>
            </w:pPr>
          </w:p>
          <w:p w14:paraId="2B01361C" w14:textId="35EF108D" w:rsidR="006F6B24" w:rsidRPr="002D14D1" w:rsidRDefault="006F6B24" w:rsidP="006F6B24">
            <w:pPr>
              <w:pStyle w:val="TableParagraph"/>
              <w:rPr>
                <w:rFonts w:asciiTheme="minorHAnsi" w:hAnsiTheme="minorHAnsi" w:cstheme="minorHAnsi"/>
                <w:i/>
                <w:iCs/>
                <w:sz w:val="20"/>
                <w:szCs w:val="20"/>
              </w:rPr>
            </w:pPr>
            <w:r w:rsidRPr="000B2036">
              <w:rPr>
                <w:rFonts w:asciiTheme="minorHAnsi" w:hAnsiTheme="minorHAnsi" w:cstheme="minorHAnsi"/>
                <w:sz w:val="20"/>
                <w:szCs w:val="20"/>
              </w:rPr>
              <w:t>Science Team surveys of post-salvage, unmanaged, and previously managed forest structure, tree regeneration, and species composition; seed trap collection</w:t>
            </w:r>
            <w:r>
              <w:rPr>
                <w:rFonts w:asciiTheme="minorHAnsi" w:hAnsiTheme="minorHAnsi" w:cstheme="minorHAnsi"/>
                <w:sz w:val="20"/>
                <w:szCs w:val="20"/>
              </w:rPr>
              <w:t xml:space="preserve"> </w:t>
            </w:r>
            <w:r>
              <w:rPr>
                <w:rFonts w:asciiTheme="minorHAnsi" w:hAnsiTheme="minorHAnsi" w:cstheme="minorHAnsi"/>
                <w:i/>
                <w:iCs/>
                <w:sz w:val="20"/>
                <w:szCs w:val="20"/>
              </w:rPr>
              <w:t>(1b-d,1f)</w:t>
            </w:r>
          </w:p>
        </w:tc>
        <w:tc>
          <w:tcPr>
            <w:tcW w:w="6930" w:type="dxa"/>
          </w:tcPr>
          <w:p w14:paraId="57325757" w14:textId="3257048F" w:rsidR="006F6B24" w:rsidRDefault="006F6B24" w:rsidP="006F6B24">
            <w:pPr>
              <w:pStyle w:val="TableParagraph"/>
              <w:rPr>
                <w:rFonts w:asciiTheme="minorHAnsi" w:hAnsiTheme="minorHAnsi" w:cstheme="minorHAnsi"/>
                <w:sz w:val="20"/>
                <w:szCs w:val="20"/>
              </w:rPr>
            </w:pPr>
            <w:r>
              <w:rPr>
                <w:rFonts w:asciiTheme="minorHAnsi" w:hAnsiTheme="minorHAnsi" w:cstheme="minorHAnsi"/>
                <w:sz w:val="20"/>
                <w:szCs w:val="20"/>
              </w:rPr>
              <w:t>T</w:t>
            </w:r>
            <w:r w:rsidRPr="000B2036">
              <w:rPr>
                <w:rFonts w:asciiTheme="minorHAnsi" w:hAnsiTheme="minorHAnsi" w:cstheme="minorHAnsi"/>
                <w:sz w:val="20"/>
                <w:szCs w:val="20"/>
              </w:rPr>
              <w:t xml:space="preserve">he first SBEADMR treatments were completed on the Gunnison Ranger District </w:t>
            </w:r>
            <w:r>
              <w:rPr>
                <w:rFonts w:asciiTheme="minorHAnsi" w:hAnsiTheme="minorHAnsi" w:cstheme="minorHAnsi"/>
                <w:sz w:val="20"/>
                <w:szCs w:val="20"/>
              </w:rPr>
              <w:t xml:space="preserve">in 2019 </w:t>
            </w:r>
            <w:r w:rsidRPr="000B2036">
              <w:rPr>
                <w:rFonts w:asciiTheme="minorHAnsi" w:hAnsiTheme="minorHAnsi" w:cstheme="minorHAnsi"/>
                <w:sz w:val="20"/>
                <w:szCs w:val="20"/>
              </w:rPr>
              <w:t>and replanting was initiated in several areas. Stocking surveys will continue to ensure stands are fully stocked within 5</w:t>
            </w:r>
            <w:r>
              <w:rPr>
                <w:rFonts w:asciiTheme="minorHAnsi" w:hAnsiTheme="minorHAnsi" w:cstheme="minorHAnsi"/>
                <w:sz w:val="20"/>
                <w:szCs w:val="20"/>
              </w:rPr>
              <w:t xml:space="preserve"> </w:t>
            </w:r>
            <w:r w:rsidRPr="000B2036">
              <w:rPr>
                <w:rFonts w:asciiTheme="minorHAnsi" w:hAnsiTheme="minorHAnsi" w:cstheme="minorHAnsi"/>
                <w:sz w:val="20"/>
                <w:szCs w:val="20"/>
              </w:rPr>
              <w:t>years of sale closure.</w:t>
            </w:r>
          </w:p>
          <w:p w14:paraId="55042C91" w14:textId="77777777" w:rsidR="006F6B24" w:rsidRDefault="006F6B24" w:rsidP="006F6B24">
            <w:pPr>
              <w:pStyle w:val="TableParagraph"/>
              <w:rPr>
                <w:rFonts w:asciiTheme="minorHAnsi" w:hAnsiTheme="minorHAnsi" w:cstheme="minorHAnsi"/>
                <w:sz w:val="20"/>
                <w:szCs w:val="20"/>
              </w:rPr>
            </w:pPr>
          </w:p>
          <w:p w14:paraId="68858C0A" w14:textId="13A325D7" w:rsidR="006F6B24" w:rsidRPr="000B2036" w:rsidRDefault="006F6B24" w:rsidP="006F6B24">
            <w:pPr>
              <w:pStyle w:val="TableParagraph"/>
              <w:rPr>
                <w:rFonts w:asciiTheme="minorHAnsi" w:hAnsiTheme="minorHAnsi" w:cstheme="minorHAnsi"/>
                <w:sz w:val="20"/>
                <w:szCs w:val="20"/>
              </w:rPr>
            </w:pPr>
            <w:r>
              <w:rPr>
                <w:rFonts w:asciiTheme="minorHAnsi" w:hAnsiTheme="minorHAnsi" w:cstheme="minorHAnsi"/>
                <w:sz w:val="20"/>
                <w:szCs w:val="20"/>
              </w:rPr>
              <w:t>Science team monitoring indicates that s</w:t>
            </w:r>
            <w:r w:rsidRPr="000B2036">
              <w:rPr>
                <w:rFonts w:asciiTheme="minorHAnsi" w:hAnsiTheme="minorHAnsi" w:cstheme="minorHAnsi"/>
                <w:sz w:val="20"/>
                <w:szCs w:val="20"/>
              </w:rPr>
              <w:t xml:space="preserve">eedling density in salvaged units </w:t>
            </w:r>
            <w:r>
              <w:rPr>
                <w:rFonts w:asciiTheme="minorHAnsi" w:hAnsiTheme="minorHAnsi" w:cstheme="minorHAnsi"/>
                <w:sz w:val="20"/>
                <w:szCs w:val="20"/>
              </w:rPr>
              <w:t xml:space="preserve">is </w:t>
            </w:r>
            <w:proofErr w:type="gramStart"/>
            <w:r w:rsidRPr="000B2036">
              <w:rPr>
                <w:rFonts w:asciiTheme="minorHAnsi" w:hAnsiTheme="minorHAnsi" w:cstheme="minorHAnsi"/>
                <w:sz w:val="20"/>
                <w:szCs w:val="20"/>
              </w:rPr>
              <w:t>similar to</w:t>
            </w:r>
            <w:proofErr w:type="gramEnd"/>
            <w:r w:rsidRPr="000B2036">
              <w:rPr>
                <w:rFonts w:asciiTheme="minorHAnsi" w:hAnsiTheme="minorHAnsi" w:cstheme="minorHAnsi"/>
                <w:sz w:val="20"/>
                <w:szCs w:val="20"/>
              </w:rPr>
              <w:t xml:space="preserve"> unmanaged and previously managed stands</w:t>
            </w:r>
            <w:r>
              <w:rPr>
                <w:rFonts w:asciiTheme="minorHAnsi" w:hAnsiTheme="minorHAnsi" w:cstheme="minorHAnsi"/>
                <w:sz w:val="20"/>
                <w:szCs w:val="20"/>
              </w:rPr>
              <w:t>, and s</w:t>
            </w:r>
            <w:r w:rsidRPr="000B2036">
              <w:rPr>
                <w:rFonts w:asciiTheme="minorHAnsi" w:hAnsiTheme="minorHAnsi" w:cstheme="minorHAnsi"/>
                <w:sz w:val="20"/>
                <w:szCs w:val="20"/>
              </w:rPr>
              <w:t xml:space="preserve">eed production </w:t>
            </w:r>
            <w:r>
              <w:rPr>
                <w:rFonts w:asciiTheme="minorHAnsi" w:hAnsiTheme="minorHAnsi" w:cstheme="minorHAnsi"/>
                <w:sz w:val="20"/>
                <w:szCs w:val="20"/>
              </w:rPr>
              <w:t>is highly variable in both time and space.</w:t>
            </w:r>
          </w:p>
        </w:tc>
        <w:tc>
          <w:tcPr>
            <w:tcW w:w="2070" w:type="dxa"/>
          </w:tcPr>
          <w:p w14:paraId="3F540204" w14:textId="77777777" w:rsidR="00F64F10" w:rsidRPr="00F64F10" w:rsidRDefault="00F64F10" w:rsidP="00F64F10">
            <w:pPr>
              <w:pStyle w:val="TableParagraph"/>
              <w:rPr>
                <w:rFonts w:asciiTheme="minorHAnsi" w:hAnsiTheme="minorHAnsi" w:cstheme="minorHAnsi"/>
                <w:i/>
                <w:iCs/>
                <w:sz w:val="20"/>
                <w:szCs w:val="20"/>
              </w:rPr>
            </w:pPr>
            <w:r>
              <w:rPr>
                <w:rFonts w:asciiTheme="minorHAnsi" w:hAnsiTheme="minorHAnsi" w:cstheme="minorHAnsi"/>
                <w:i/>
                <w:iCs/>
                <w:sz w:val="20"/>
                <w:szCs w:val="20"/>
              </w:rPr>
              <w:t>No changes to SBEADMR needed at this time.</w:t>
            </w:r>
          </w:p>
          <w:p w14:paraId="665A3A7D" w14:textId="5432E3A5" w:rsidR="006F6B24" w:rsidRPr="000B2036" w:rsidRDefault="006F6B24" w:rsidP="006F6B24">
            <w:pPr>
              <w:pStyle w:val="TableParagraph"/>
              <w:rPr>
                <w:rFonts w:asciiTheme="minorHAnsi" w:hAnsiTheme="minorHAnsi" w:cstheme="minorHAnsi"/>
                <w:b/>
                <w:sz w:val="20"/>
                <w:szCs w:val="20"/>
              </w:rPr>
            </w:pPr>
          </w:p>
        </w:tc>
        <w:tc>
          <w:tcPr>
            <w:tcW w:w="1980" w:type="dxa"/>
          </w:tcPr>
          <w:p w14:paraId="2E82CBF7" w14:textId="52630A61" w:rsidR="006F6B24" w:rsidRPr="00BC730F" w:rsidRDefault="006F6B24" w:rsidP="006F6B24">
            <w:pPr>
              <w:pStyle w:val="TableParagraph"/>
              <w:rPr>
                <w:rFonts w:asciiTheme="minorHAnsi" w:hAnsiTheme="minorHAnsi" w:cstheme="minorHAnsi"/>
                <w:bCs/>
                <w:i/>
                <w:iCs/>
                <w:sz w:val="20"/>
                <w:szCs w:val="20"/>
              </w:rPr>
            </w:pPr>
          </w:p>
        </w:tc>
        <w:tc>
          <w:tcPr>
            <w:tcW w:w="3690" w:type="dxa"/>
          </w:tcPr>
          <w:p w14:paraId="51EA537F" w14:textId="77777777" w:rsidR="00E66D19" w:rsidRDefault="006F6B24" w:rsidP="00E66D19">
            <w:pPr>
              <w:pStyle w:val="TableParagraph"/>
              <w:rPr>
                <w:rFonts w:asciiTheme="minorHAnsi" w:hAnsiTheme="minorHAnsi" w:cstheme="minorHAnsi"/>
                <w:sz w:val="20"/>
                <w:szCs w:val="20"/>
              </w:rPr>
            </w:pPr>
            <w:r w:rsidRPr="000B2036">
              <w:rPr>
                <w:rFonts w:asciiTheme="minorHAnsi" w:hAnsiTheme="minorHAnsi" w:cstheme="minorHAnsi"/>
                <w:sz w:val="20"/>
                <w:szCs w:val="20"/>
              </w:rPr>
              <w:t>By law, stocking surveys are required</w:t>
            </w:r>
            <w:r>
              <w:rPr>
                <w:rFonts w:asciiTheme="minorHAnsi" w:hAnsiTheme="minorHAnsi" w:cstheme="minorHAnsi"/>
                <w:sz w:val="20"/>
                <w:szCs w:val="20"/>
              </w:rPr>
              <w:t xml:space="preserve"> at </w:t>
            </w:r>
            <w:proofErr w:type="gramStart"/>
            <w:r w:rsidRPr="000B2036">
              <w:rPr>
                <w:rFonts w:asciiTheme="minorHAnsi" w:hAnsiTheme="minorHAnsi" w:cstheme="minorHAnsi"/>
                <w:sz w:val="20"/>
                <w:szCs w:val="20"/>
              </w:rPr>
              <w:t>1, 3 and 5 years</w:t>
            </w:r>
            <w:proofErr w:type="gramEnd"/>
            <w:r w:rsidRPr="000B2036">
              <w:rPr>
                <w:rFonts w:asciiTheme="minorHAnsi" w:hAnsiTheme="minorHAnsi" w:cstheme="minorHAnsi"/>
                <w:sz w:val="20"/>
                <w:szCs w:val="20"/>
              </w:rPr>
              <w:t xml:space="preserve"> </w:t>
            </w:r>
            <w:r>
              <w:rPr>
                <w:rFonts w:asciiTheme="minorHAnsi" w:hAnsiTheme="minorHAnsi" w:cstheme="minorHAnsi"/>
                <w:sz w:val="20"/>
                <w:szCs w:val="20"/>
              </w:rPr>
              <w:t>post-</w:t>
            </w:r>
            <w:r w:rsidRPr="000B2036">
              <w:rPr>
                <w:rFonts w:asciiTheme="minorHAnsi" w:hAnsiTheme="minorHAnsi" w:cstheme="minorHAnsi"/>
                <w:sz w:val="20"/>
                <w:szCs w:val="20"/>
              </w:rPr>
              <w:t>harvest. Within 5</w:t>
            </w:r>
            <w:r>
              <w:rPr>
                <w:rFonts w:asciiTheme="minorHAnsi" w:hAnsiTheme="minorHAnsi" w:cstheme="minorHAnsi"/>
                <w:sz w:val="20"/>
                <w:szCs w:val="20"/>
              </w:rPr>
              <w:t xml:space="preserve"> </w:t>
            </w:r>
            <w:r w:rsidRPr="000B2036">
              <w:rPr>
                <w:rFonts w:asciiTheme="minorHAnsi" w:hAnsiTheme="minorHAnsi" w:cstheme="minorHAnsi"/>
                <w:sz w:val="20"/>
                <w:szCs w:val="20"/>
              </w:rPr>
              <w:t>years stands must be fully sto</w:t>
            </w:r>
            <w:r>
              <w:rPr>
                <w:rFonts w:asciiTheme="minorHAnsi" w:hAnsiTheme="minorHAnsi" w:cstheme="minorHAnsi"/>
                <w:sz w:val="20"/>
                <w:szCs w:val="20"/>
              </w:rPr>
              <w:t>c</w:t>
            </w:r>
            <w:r w:rsidRPr="000B2036">
              <w:rPr>
                <w:rFonts w:asciiTheme="minorHAnsi" w:hAnsiTheme="minorHAnsi" w:cstheme="minorHAnsi"/>
                <w:sz w:val="20"/>
                <w:szCs w:val="20"/>
              </w:rPr>
              <w:t>ked in accordance with the Forest Plan.</w:t>
            </w:r>
            <w:r>
              <w:rPr>
                <w:rFonts w:asciiTheme="minorHAnsi" w:hAnsiTheme="minorHAnsi" w:cstheme="minorHAnsi"/>
                <w:sz w:val="20"/>
                <w:szCs w:val="20"/>
              </w:rPr>
              <w:t xml:space="preserve"> Stocking survey data will be reported at 5 years; any notable observations will be shared prior to that as applicable.</w:t>
            </w:r>
            <w:r w:rsidR="00E66D19">
              <w:rPr>
                <w:rFonts w:asciiTheme="minorHAnsi" w:hAnsiTheme="minorHAnsi" w:cstheme="minorHAnsi"/>
                <w:sz w:val="20"/>
                <w:szCs w:val="20"/>
              </w:rPr>
              <w:t xml:space="preserve"> </w:t>
            </w:r>
          </w:p>
          <w:p w14:paraId="4A310E3D" w14:textId="25921ABC" w:rsidR="00E66D19" w:rsidRPr="00E97D1D" w:rsidRDefault="00E66D19" w:rsidP="00E66D19">
            <w:pPr>
              <w:pStyle w:val="TableParagraph"/>
              <w:rPr>
                <w:rFonts w:asciiTheme="minorHAnsi" w:hAnsiTheme="minorHAnsi" w:cstheme="minorHAnsi"/>
                <w:sz w:val="20"/>
                <w:szCs w:val="20"/>
              </w:rPr>
            </w:pPr>
            <w:r w:rsidRPr="00E97D1D">
              <w:rPr>
                <w:rFonts w:asciiTheme="minorHAnsi" w:hAnsiTheme="minorHAnsi" w:cstheme="minorHAnsi"/>
                <w:sz w:val="20"/>
                <w:szCs w:val="20"/>
              </w:rPr>
              <w:t>Anticipate seeing the first meaningful regeneration results in 2023</w:t>
            </w:r>
            <w:r>
              <w:rPr>
                <w:rFonts w:asciiTheme="minorHAnsi" w:hAnsiTheme="minorHAnsi" w:cstheme="minorHAnsi"/>
                <w:sz w:val="20"/>
                <w:szCs w:val="20"/>
              </w:rPr>
              <w:t>; these will be included in the SBEADMR 2023 Community Report</w:t>
            </w:r>
            <w:r w:rsidRPr="00E97D1D">
              <w:rPr>
                <w:rFonts w:asciiTheme="minorHAnsi" w:hAnsiTheme="minorHAnsi" w:cstheme="minorHAnsi"/>
                <w:sz w:val="20"/>
                <w:szCs w:val="20"/>
              </w:rPr>
              <w:t xml:space="preserve">  </w:t>
            </w:r>
          </w:p>
          <w:p w14:paraId="3D2DCA52" w14:textId="56FC1233" w:rsidR="006F6B24" w:rsidRDefault="006F6B24" w:rsidP="006F6B24">
            <w:pPr>
              <w:pStyle w:val="TableParagraph"/>
              <w:rPr>
                <w:rFonts w:asciiTheme="minorHAnsi" w:hAnsiTheme="minorHAnsi" w:cstheme="minorHAnsi"/>
                <w:sz w:val="20"/>
                <w:szCs w:val="20"/>
              </w:rPr>
            </w:pPr>
          </w:p>
          <w:p w14:paraId="39BC981D" w14:textId="77777777" w:rsidR="006F6B24" w:rsidRDefault="006F6B24" w:rsidP="006F6B24">
            <w:pPr>
              <w:pStyle w:val="TableParagraph"/>
              <w:rPr>
                <w:rFonts w:asciiTheme="minorHAnsi" w:hAnsiTheme="minorHAnsi" w:cstheme="minorHAnsi"/>
                <w:sz w:val="20"/>
                <w:szCs w:val="20"/>
              </w:rPr>
            </w:pPr>
          </w:p>
          <w:p w14:paraId="6AD7948D" w14:textId="72858DBE" w:rsidR="006F6B24" w:rsidRPr="000B2036" w:rsidRDefault="006F6B24" w:rsidP="006F6B24">
            <w:pPr>
              <w:pStyle w:val="TableParagraph"/>
              <w:rPr>
                <w:rFonts w:asciiTheme="minorHAnsi" w:hAnsiTheme="minorHAnsi" w:cstheme="minorHAnsi"/>
                <w:sz w:val="20"/>
                <w:szCs w:val="20"/>
              </w:rPr>
            </w:pPr>
          </w:p>
        </w:tc>
      </w:tr>
      <w:tr w:rsidR="006F6B24" w:rsidRPr="000B2036" w14:paraId="7F8DA006" w14:textId="77777777" w:rsidTr="505C20AD">
        <w:trPr>
          <w:trHeight w:val="2016"/>
        </w:trPr>
        <w:tc>
          <w:tcPr>
            <w:tcW w:w="2520" w:type="dxa"/>
          </w:tcPr>
          <w:p w14:paraId="77410435" w14:textId="77777777" w:rsidR="006F6B24" w:rsidRPr="000B2036" w:rsidRDefault="006F6B24" w:rsidP="006F6B24">
            <w:pPr>
              <w:pStyle w:val="TableParagraph"/>
              <w:spacing w:line="253" w:lineRule="exact"/>
              <w:rPr>
                <w:rFonts w:asciiTheme="minorHAnsi" w:hAnsiTheme="minorHAnsi" w:cstheme="minorHAnsi"/>
                <w:sz w:val="20"/>
                <w:szCs w:val="20"/>
              </w:rPr>
            </w:pPr>
            <w:r w:rsidRPr="000B2036">
              <w:rPr>
                <w:rFonts w:asciiTheme="minorHAnsi" w:hAnsiTheme="minorHAnsi" w:cstheme="minorHAnsi"/>
                <w:sz w:val="20"/>
                <w:szCs w:val="20"/>
              </w:rPr>
              <w:lastRenderedPageBreak/>
              <w:t>Maintain soil productivity,</w:t>
            </w:r>
          </w:p>
          <w:p w14:paraId="1CFE42F3" w14:textId="728F0B7F" w:rsidR="006F6B24" w:rsidRPr="000B2036" w:rsidRDefault="006F6B24" w:rsidP="006F6B24">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minimize human-caused erosion, </w:t>
            </w:r>
            <w:proofErr w:type="gramStart"/>
            <w:r w:rsidRPr="000B2036">
              <w:rPr>
                <w:rFonts w:asciiTheme="minorHAnsi" w:hAnsiTheme="minorHAnsi" w:cstheme="minorHAnsi"/>
                <w:sz w:val="20"/>
                <w:szCs w:val="20"/>
              </w:rPr>
              <w:t>eliminate</w:t>
            </w:r>
            <w:proofErr w:type="gramEnd"/>
            <w:r w:rsidRPr="000B2036">
              <w:rPr>
                <w:rFonts w:asciiTheme="minorHAnsi" w:hAnsiTheme="minorHAnsi" w:cstheme="minorHAnsi"/>
                <w:sz w:val="20"/>
                <w:szCs w:val="20"/>
              </w:rPr>
              <w:t xml:space="preserve"> or minimize soil damage from machine pile burning, and maintain integrity of associated ecosystems </w:t>
            </w:r>
            <w:r w:rsidRPr="00BF032C">
              <w:rPr>
                <w:rFonts w:asciiTheme="minorHAnsi" w:hAnsiTheme="minorHAnsi" w:cstheme="minorHAnsi"/>
                <w:sz w:val="16"/>
                <w:szCs w:val="16"/>
              </w:rPr>
              <w:t>(Decision Trigger, FEIS, Table 6, pp. 44-45)</w:t>
            </w:r>
          </w:p>
        </w:tc>
        <w:tc>
          <w:tcPr>
            <w:tcW w:w="1620" w:type="dxa"/>
          </w:tcPr>
          <w:p w14:paraId="28C2AACF" w14:textId="77777777" w:rsidR="006F6B24" w:rsidRPr="000B2036" w:rsidRDefault="006F6B24" w:rsidP="006F6B24">
            <w:pPr>
              <w:pStyle w:val="TableParagraph"/>
              <w:spacing w:line="253" w:lineRule="exact"/>
              <w:rPr>
                <w:rFonts w:asciiTheme="minorHAnsi" w:hAnsiTheme="minorHAnsi" w:cstheme="minorHAnsi"/>
                <w:sz w:val="20"/>
                <w:szCs w:val="20"/>
              </w:rPr>
            </w:pPr>
            <w:r w:rsidRPr="000B2036">
              <w:rPr>
                <w:rFonts w:asciiTheme="minorHAnsi" w:hAnsiTheme="minorHAnsi" w:cstheme="minorHAnsi"/>
                <w:sz w:val="20"/>
                <w:szCs w:val="20"/>
              </w:rPr>
              <w:t>GMUG resource specialist</w:t>
            </w:r>
          </w:p>
          <w:p w14:paraId="615B25EA" w14:textId="4F1F8949" w:rsidR="006F6B24" w:rsidRPr="000B2036" w:rsidRDefault="006F6B24" w:rsidP="006F6B24">
            <w:pPr>
              <w:pStyle w:val="TableParagraph"/>
              <w:rPr>
                <w:rFonts w:asciiTheme="minorHAnsi" w:hAnsiTheme="minorHAnsi" w:cstheme="minorHAnsi"/>
                <w:sz w:val="20"/>
                <w:szCs w:val="20"/>
              </w:rPr>
            </w:pPr>
            <w:r w:rsidRPr="000B2036">
              <w:rPr>
                <w:rFonts w:asciiTheme="minorHAnsi" w:hAnsiTheme="minorHAnsi" w:cstheme="minorHAnsi"/>
                <w:sz w:val="20"/>
                <w:szCs w:val="20"/>
              </w:rPr>
              <w:t>conduct spot inspections and post-treatment monitoring</w:t>
            </w:r>
          </w:p>
        </w:tc>
        <w:tc>
          <w:tcPr>
            <w:tcW w:w="6930" w:type="dxa"/>
          </w:tcPr>
          <w:p w14:paraId="35570221" w14:textId="548B3485" w:rsidR="006F6B24" w:rsidRPr="00A42ACA" w:rsidRDefault="00084886" w:rsidP="006F6B24">
            <w:pPr>
              <w:pStyle w:val="TableParagraph"/>
              <w:rPr>
                <w:rFonts w:asciiTheme="minorHAnsi" w:hAnsiTheme="minorHAnsi" w:cstheme="minorHAnsi"/>
                <w:sz w:val="20"/>
                <w:szCs w:val="20"/>
              </w:rPr>
            </w:pPr>
            <w:r>
              <w:rPr>
                <w:rFonts w:asciiTheme="minorHAnsi" w:hAnsiTheme="minorHAnsi" w:cstheme="minorHAnsi"/>
                <w:sz w:val="20"/>
                <w:szCs w:val="20"/>
              </w:rPr>
              <w:t>All SBEADMR treatment</w:t>
            </w:r>
            <w:r w:rsidR="006F6B24" w:rsidRPr="00A42ACA">
              <w:rPr>
                <w:rFonts w:asciiTheme="minorHAnsi" w:hAnsiTheme="minorHAnsi" w:cstheme="minorHAnsi"/>
                <w:sz w:val="20"/>
                <w:szCs w:val="20"/>
              </w:rPr>
              <w:t xml:space="preserve"> checklists indicate treatments are designed commensurate with this requirement.</w:t>
            </w:r>
          </w:p>
          <w:p w14:paraId="65F98407" w14:textId="33FBBF0A" w:rsidR="006F6B24" w:rsidRDefault="006F6B24" w:rsidP="006F6B24">
            <w:pPr>
              <w:pStyle w:val="TableParagraph"/>
              <w:rPr>
                <w:rFonts w:asciiTheme="minorHAnsi" w:hAnsiTheme="minorHAnsi" w:cstheme="minorHAnsi"/>
                <w:sz w:val="20"/>
                <w:szCs w:val="20"/>
              </w:rPr>
            </w:pPr>
          </w:p>
          <w:p w14:paraId="5BDCA17F" w14:textId="7405F99D" w:rsidR="00501931" w:rsidRPr="00A42ACA" w:rsidRDefault="009E0DC5" w:rsidP="00501931">
            <w:pPr>
              <w:pStyle w:val="TableParagraph"/>
              <w:rPr>
                <w:rFonts w:asciiTheme="minorHAnsi" w:hAnsiTheme="minorHAnsi" w:cstheme="minorHAnsi"/>
                <w:i/>
                <w:iCs/>
                <w:sz w:val="20"/>
                <w:szCs w:val="20"/>
              </w:rPr>
            </w:pPr>
            <w:r w:rsidRPr="00E14EE5">
              <w:rPr>
                <w:rFonts w:asciiTheme="minorHAnsi" w:hAnsiTheme="minorHAnsi" w:cstheme="minorHAnsi"/>
                <w:sz w:val="20"/>
                <w:szCs w:val="20"/>
                <w:highlight w:val="yellow"/>
              </w:rPr>
              <w:t>Due to staff vacancies, n</w:t>
            </w:r>
            <w:r w:rsidR="00501931" w:rsidRPr="00E14EE5">
              <w:rPr>
                <w:rFonts w:asciiTheme="minorHAnsi" w:hAnsiTheme="minorHAnsi" w:cstheme="minorHAnsi"/>
                <w:sz w:val="20"/>
                <w:szCs w:val="20"/>
                <w:highlight w:val="yellow"/>
              </w:rPr>
              <w:t>o post-harvest soil disturbance monitoring was conducted in 2022. The GMUG plans to conduct soil disturbance monitoring in timber sales in 2023. Results of monitoring in SBEADMR units will be reported in the 2024 SBEADMR AMG Adaptive Implementation Report.</w:t>
            </w:r>
            <w:r w:rsidR="00501931">
              <w:rPr>
                <w:rFonts w:asciiTheme="minorHAnsi" w:hAnsiTheme="minorHAnsi" w:cstheme="minorHAnsi"/>
                <w:sz w:val="20"/>
                <w:szCs w:val="20"/>
              </w:rPr>
              <w:t xml:space="preserve"> </w:t>
            </w:r>
          </w:p>
          <w:p w14:paraId="00CA6059" w14:textId="033EA5B5" w:rsidR="006F6B24" w:rsidRPr="00A42ACA" w:rsidRDefault="006F6B24" w:rsidP="006F6B24">
            <w:pPr>
              <w:pStyle w:val="TableParagraph"/>
              <w:rPr>
                <w:rFonts w:asciiTheme="minorHAnsi" w:hAnsiTheme="minorHAnsi" w:cstheme="minorHAnsi"/>
                <w:i/>
                <w:iCs/>
                <w:sz w:val="20"/>
                <w:szCs w:val="20"/>
              </w:rPr>
            </w:pPr>
          </w:p>
        </w:tc>
        <w:tc>
          <w:tcPr>
            <w:tcW w:w="2070" w:type="dxa"/>
          </w:tcPr>
          <w:p w14:paraId="6EDEDDBE" w14:textId="7C3509C8" w:rsidR="006F6B24" w:rsidRPr="00F64F10" w:rsidRDefault="00F64F10" w:rsidP="006F6B24">
            <w:pPr>
              <w:pStyle w:val="TableParagraph"/>
              <w:rPr>
                <w:rFonts w:asciiTheme="minorHAnsi" w:hAnsiTheme="minorHAnsi" w:cstheme="minorHAnsi"/>
                <w:b/>
                <w:sz w:val="20"/>
                <w:szCs w:val="20"/>
              </w:rPr>
            </w:pPr>
            <w:r w:rsidRPr="00F64F10">
              <w:rPr>
                <w:rFonts w:asciiTheme="minorHAnsi" w:hAnsiTheme="minorHAnsi" w:cstheme="minorHAnsi"/>
                <w:b/>
                <w:sz w:val="20"/>
                <w:szCs w:val="20"/>
                <w:highlight w:val="yellow"/>
              </w:rPr>
              <w:t>TBD</w:t>
            </w:r>
          </w:p>
        </w:tc>
        <w:tc>
          <w:tcPr>
            <w:tcW w:w="1980" w:type="dxa"/>
          </w:tcPr>
          <w:p w14:paraId="76EDB0B1" w14:textId="03AC1284" w:rsidR="006F6B24" w:rsidRPr="00BC730F" w:rsidRDefault="006F6B24" w:rsidP="006F6B24">
            <w:pPr>
              <w:pStyle w:val="TableParagraph"/>
              <w:rPr>
                <w:rFonts w:asciiTheme="minorHAnsi" w:hAnsiTheme="minorHAnsi" w:cstheme="minorHAnsi"/>
                <w:bCs/>
                <w:i/>
                <w:iCs/>
                <w:sz w:val="20"/>
                <w:szCs w:val="20"/>
              </w:rPr>
            </w:pPr>
          </w:p>
        </w:tc>
        <w:tc>
          <w:tcPr>
            <w:tcW w:w="3690" w:type="dxa"/>
          </w:tcPr>
          <w:p w14:paraId="3B483C42" w14:textId="0406138C" w:rsidR="00F64F10" w:rsidRPr="00F64F10" w:rsidRDefault="00F64F10" w:rsidP="006F6B24">
            <w:pPr>
              <w:pStyle w:val="TableParagraph"/>
              <w:rPr>
                <w:i/>
                <w:iCs/>
                <w:sz w:val="20"/>
                <w:szCs w:val="20"/>
              </w:rPr>
            </w:pPr>
            <w:r w:rsidRPr="00F64F10">
              <w:rPr>
                <w:i/>
                <w:iCs/>
                <w:sz w:val="20"/>
                <w:szCs w:val="20"/>
                <w:highlight w:val="yellow"/>
              </w:rPr>
              <w:t xml:space="preserve">Draft recommendation based on Gina’s presentation </w:t>
            </w:r>
            <w:proofErr w:type="gramStart"/>
            <w:r w:rsidRPr="00F64F10">
              <w:rPr>
                <w:i/>
                <w:iCs/>
                <w:sz w:val="20"/>
                <w:szCs w:val="20"/>
                <w:highlight w:val="yellow"/>
              </w:rPr>
              <w:t>at</w:t>
            </w:r>
            <w:proofErr w:type="gramEnd"/>
            <w:r w:rsidRPr="00F64F10">
              <w:rPr>
                <w:i/>
                <w:iCs/>
                <w:sz w:val="20"/>
                <w:szCs w:val="20"/>
                <w:highlight w:val="yellow"/>
              </w:rPr>
              <w:t xml:space="preserve"> May 17 meeting.</w:t>
            </w:r>
          </w:p>
          <w:p w14:paraId="758B9396" w14:textId="77777777" w:rsidR="00F64F10" w:rsidRDefault="00F64F10" w:rsidP="006F6B24">
            <w:pPr>
              <w:pStyle w:val="TableParagraph"/>
              <w:rPr>
                <w:sz w:val="20"/>
                <w:szCs w:val="20"/>
              </w:rPr>
            </w:pPr>
          </w:p>
          <w:p w14:paraId="74EA2B61" w14:textId="5D3C8372" w:rsidR="00A9037C" w:rsidRDefault="006F6B24" w:rsidP="006F6B24">
            <w:pPr>
              <w:pStyle w:val="TableParagraph"/>
              <w:rPr>
                <w:sz w:val="20"/>
                <w:szCs w:val="20"/>
              </w:rPr>
            </w:pPr>
            <w:r w:rsidRPr="00E97D1D">
              <w:rPr>
                <w:sz w:val="20"/>
                <w:szCs w:val="20"/>
              </w:rPr>
              <w:t>GMUG Forest Plan and Regional direction requires that detrimental soil disturbance does not exceed 15% of an activity area (</w:t>
            </w:r>
            <w:proofErr w:type="gramStart"/>
            <w:r w:rsidRPr="00E97D1D">
              <w:rPr>
                <w:sz w:val="20"/>
                <w:szCs w:val="20"/>
              </w:rPr>
              <w:t>e.g.</w:t>
            </w:r>
            <w:proofErr w:type="gramEnd"/>
            <w:r w:rsidRPr="00E97D1D">
              <w:rPr>
                <w:sz w:val="20"/>
                <w:szCs w:val="20"/>
              </w:rPr>
              <w:t xml:space="preserve"> timber sale unit).</w:t>
            </w:r>
          </w:p>
          <w:p w14:paraId="17A0669F" w14:textId="2AD5C530" w:rsidR="006F6B24" w:rsidRPr="000B2036" w:rsidRDefault="006F6B24" w:rsidP="006F6B24">
            <w:pPr>
              <w:pStyle w:val="TableParagraph"/>
              <w:rPr>
                <w:rFonts w:asciiTheme="minorHAnsi" w:hAnsiTheme="minorHAnsi" w:cstheme="minorHAnsi"/>
                <w:sz w:val="20"/>
                <w:szCs w:val="20"/>
              </w:rPr>
            </w:pPr>
          </w:p>
        </w:tc>
      </w:tr>
      <w:tr w:rsidR="006F6B24" w:rsidRPr="000B2036" w14:paraId="351DA300" w14:textId="77777777" w:rsidTr="505C20AD">
        <w:trPr>
          <w:trHeight w:val="2880"/>
        </w:trPr>
        <w:tc>
          <w:tcPr>
            <w:tcW w:w="2520" w:type="dxa"/>
          </w:tcPr>
          <w:p w14:paraId="5469B15B" w14:textId="4476783F" w:rsidR="006F6B24" w:rsidRPr="000B2036" w:rsidRDefault="006F6B24" w:rsidP="006F6B24">
            <w:pPr>
              <w:pStyle w:val="TableParagraph"/>
              <w:spacing w:line="253" w:lineRule="exact"/>
              <w:rPr>
                <w:rFonts w:asciiTheme="minorHAnsi" w:hAnsiTheme="minorHAnsi" w:cstheme="minorHAnsi"/>
                <w:sz w:val="20"/>
                <w:szCs w:val="20"/>
              </w:rPr>
            </w:pPr>
            <w:r w:rsidRPr="000B2036">
              <w:rPr>
                <w:rFonts w:asciiTheme="minorHAnsi" w:hAnsiTheme="minorHAnsi" w:cstheme="minorHAnsi"/>
                <w:sz w:val="20"/>
                <w:szCs w:val="20"/>
              </w:rPr>
              <w:t xml:space="preserve">No more than 30% of lynx habitat in a Lynx Analysis Unit (LAU) is converted to a stand initiation structural stage (&gt;90% loss of tree overstory) due to natural or human- caused disturbance </w:t>
            </w:r>
            <w:r w:rsidRPr="00BF032C">
              <w:rPr>
                <w:rFonts w:asciiTheme="minorHAnsi" w:hAnsiTheme="minorHAnsi" w:cstheme="minorHAnsi"/>
                <w:sz w:val="16"/>
                <w:szCs w:val="16"/>
              </w:rPr>
              <w:t>(Southern Rockies Lynx Amendment Standard VEG</w:t>
            </w:r>
            <w:r w:rsidRPr="00BF032C">
              <w:rPr>
                <w:rFonts w:asciiTheme="minorHAnsi" w:hAnsiTheme="minorHAnsi" w:cstheme="minorHAnsi"/>
                <w:spacing w:val="-1"/>
                <w:sz w:val="16"/>
                <w:szCs w:val="16"/>
              </w:rPr>
              <w:t xml:space="preserve"> </w:t>
            </w:r>
            <w:r w:rsidRPr="00BF032C">
              <w:rPr>
                <w:rFonts w:asciiTheme="minorHAnsi" w:hAnsiTheme="minorHAnsi" w:cstheme="minorHAnsi"/>
                <w:spacing w:val="-2"/>
                <w:sz w:val="16"/>
                <w:szCs w:val="16"/>
              </w:rPr>
              <w:t xml:space="preserve">S1; </w:t>
            </w:r>
            <w:r w:rsidRPr="00BF032C">
              <w:rPr>
                <w:rFonts w:asciiTheme="minorHAnsi" w:hAnsiTheme="minorHAnsi" w:cstheme="minorHAnsi"/>
                <w:sz w:val="16"/>
                <w:szCs w:val="16"/>
              </w:rPr>
              <w:t>Decision Trigger, FEIS, Table 6, pp. 44-45</w:t>
            </w:r>
            <w:r w:rsidRPr="00BF032C">
              <w:rPr>
                <w:rFonts w:asciiTheme="minorHAnsi" w:hAnsiTheme="minorHAnsi" w:cstheme="minorHAnsi"/>
                <w:spacing w:val="-2"/>
                <w:sz w:val="16"/>
                <w:szCs w:val="16"/>
              </w:rPr>
              <w:t>)</w:t>
            </w:r>
          </w:p>
        </w:tc>
        <w:tc>
          <w:tcPr>
            <w:tcW w:w="1620" w:type="dxa"/>
          </w:tcPr>
          <w:p w14:paraId="75C5E1B9" w14:textId="63EE51D3" w:rsidR="006F6B24" w:rsidRPr="000B2036" w:rsidRDefault="006F6B24" w:rsidP="006F6B24">
            <w:pPr>
              <w:pStyle w:val="TableParagraph"/>
              <w:rPr>
                <w:rFonts w:asciiTheme="minorHAnsi" w:hAnsiTheme="minorHAnsi" w:cstheme="minorHAnsi"/>
                <w:sz w:val="20"/>
                <w:szCs w:val="20"/>
              </w:rPr>
            </w:pPr>
            <w:r>
              <w:rPr>
                <w:rFonts w:asciiTheme="minorHAnsi" w:hAnsiTheme="minorHAnsi" w:cstheme="minorHAnsi"/>
                <w:sz w:val="20"/>
                <w:szCs w:val="20"/>
              </w:rPr>
              <w:t xml:space="preserve">GMUG Forest Biologist track structural stages in LAU annually based on FS databases (FACTs, </w:t>
            </w:r>
            <w:proofErr w:type="spellStart"/>
            <w:r>
              <w:rPr>
                <w:rFonts w:asciiTheme="minorHAnsi" w:hAnsiTheme="minorHAnsi" w:cstheme="minorHAnsi"/>
                <w:sz w:val="20"/>
                <w:szCs w:val="20"/>
              </w:rPr>
              <w:t>FSVegSpatial</w:t>
            </w:r>
            <w:proofErr w:type="spellEnd"/>
            <w:r>
              <w:rPr>
                <w:rFonts w:asciiTheme="minorHAnsi" w:hAnsiTheme="minorHAnsi" w:cstheme="minorHAnsi"/>
                <w:sz w:val="20"/>
                <w:szCs w:val="20"/>
              </w:rPr>
              <w:t>)</w:t>
            </w:r>
          </w:p>
        </w:tc>
        <w:tc>
          <w:tcPr>
            <w:tcW w:w="6930" w:type="dxa"/>
            <w:shd w:val="clear" w:color="auto" w:fill="auto"/>
          </w:tcPr>
          <w:p w14:paraId="3F035B6E" w14:textId="466D0896" w:rsidR="00C347E7" w:rsidRDefault="00D20EE0" w:rsidP="006F6B24">
            <w:pPr>
              <w:pStyle w:val="TableParagraph"/>
              <w:rPr>
                <w:rFonts w:asciiTheme="minorHAnsi" w:hAnsiTheme="minorHAnsi" w:cstheme="minorHAnsi"/>
                <w:sz w:val="20"/>
                <w:szCs w:val="20"/>
              </w:rPr>
            </w:pPr>
            <w:r>
              <w:rPr>
                <w:rFonts w:asciiTheme="minorHAnsi" w:hAnsiTheme="minorHAnsi" w:cstheme="minorHAnsi"/>
                <w:sz w:val="20"/>
                <w:szCs w:val="20"/>
              </w:rPr>
              <w:t xml:space="preserve">The following LAUs have exceeded </w:t>
            </w:r>
            <w:r w:rsidR="006F6B24">
              <w:rPr>
                <w:rFonts w:asciiTheme="minorHAnsi" w:hAnsiTheme="minorHAnsi" w:cstheme="minorHAnsi"/>
                <w:sz w:val="20"/>
                <w:szCs w:val="20"/>
              </w:rPr>
              <w:t xml:space="preserve">the threshold, </w:t>
            </w:r>
            <w:r w:rsidR="001E4882">
              <w:rPr>
                <w:rFonts w:asciiTheme="minorHAnsi" w:hAnsiTheme="minorHAnsi" w:cstheme="minorHAnsi"/>
                <w:sz w:val="20"/>
                <w:szCs w:val="20"/>
              </w:rPr>
              <w:t xml:space="preserve">almost entirely </w:t>
            </w:r>
            <w:r w:rsidR="006F6B24">
              <w:rPr>
                <w:rFonts w:asciiTheme="minorHAnsi" w:hAnsiTheme="minorHAnsi" w:cstheme="minorHAnsi"/>
                <w:sz w:val="20"/>
                <w:szCs w:val="20"/>
              </w:rPr>
              <w:t>due to habitat converted to unsuitable from natural disturbance (tree mortality from spruce beetle and other pathogens)</w:t>
            </w:r>
            <w:r w:rsidR="006F6B24" w:rsidRPr="00F16B63">
              <w:rPr>
                <w:rFonts w:asciiTheme="minorHAnsi" w:hAnsiTheme="minorHAnsi" w:cstheme="minorHAnsi"/>
                <w:sz w:val="20"/>
                <w:szCs w:val="20"/>
              </w:rPr>
              <w:t xml:space="preserve">. Cathedral is at 41%; Stewart Creek LAU is currently at </w:t>
            </w:r>
            <w:r w:rsidR="006F6B24">
              <w:rPr>
                <w:rFonts w:asciiTheme="minorHAnsi" w:hAnsiTheme="minorHAnsi" w:cstheme="minorHAnsi"/>
                <w:sz w:val="20"/>
                <w:szCs w:val="20"/>
              </w:rPr>
              <w:t>40</w:t>
            </w:r>
            <w:r w:rsidR="006F6B24" w:rsidRPr="00F16B63">
              <w:rPr>
                <w:rFonts w:asciiTheme="minorHAnsi" w:hAnsiTheme="minorHAnsi" w:cstheme="minorHAnsi"/>
                <w:sz w:val="20"/>
                <w:szCs w:val="20"/>
              </w:rPr>
              <w:t xml:space="preserve">%. </w:t>
            </w:r>
            <w:r w:rsidR="005A2C8A">
              <w:rPr>
                <w:rFonts w:asciiTheme="minorHAnsi" w:hAnsiTheme="minorHAnsi" w:cstheme="minorHAnsi"/>
                <w:sz w:val="20"/>
                <w:szCs w:val="20"/>
              </w:rPr>
              <w:t>From 199</w:t>
            </w:r>
            <w:r w:rsidR="00292A89">
              <w:rPr>
                <w:rFonts w:asciiTheme="minorHAnsi" w:hAnsiTheme="minorHAnsi" w:cstheme="minorHAnsi"/>
                <w:sz w:val="20"/>
                <w:szCs w:val="20"/>
              </w:rPr>
              <w:t>6</w:t>
            </w:r>
            <w:r w:rsidR="005A2C8A">
              <w:rPr>
                <w:rFonts w:asciiTheme="minorHAnsi" w:hAnsiTheme="minorHAnsi" w:cstheme="minorHAnsi"/>
                <w:sz w:val="20"/>
                <w:szCs w:val="20"/>
              </w:rPr>
              <w:t xml:space="preserve"> to 202</w:t>
            </w:r>
            <w:r w:rsidR="00292A89">
              <w:rPr>
                <w:rFonts w:asciiTheme="minorHAnsi" w:hAnsiTheme="minorHAnsi" w:cstheme="minorHAnsi"/>
                <w:sz w:val="20"/>
                <w:szCs w:val="20"/>
              </w:rPr>
              <w:t>1</w:t>
            </w:r>
            <w:r w:rsidR="005A2C8A">
              <w:rPr>
                <w:rFonts w:asciiTheme="minorHAnsi" w:hAnsiTheme="minorHAnsi" w:cstheme="minorHAnsi"/>
                <w:sz w:val="20"/>
                <w:szCs w:val="20"/>
              </w:rPr>
              <w:t xml:space="preserve">, management activities contributed </w:t>
            </w:r>
            <w:r w:rsidR="005655C0">
              <w:rPr>
                <w:rFonts w:asciiTheme="minorHAnsi" w:hAnsiTheme="minorHAnsi" w:cstheme="minorHAnsi"/>
                <w:sz w:val="20"/>
                <w:szCs w:val="20"/>
              </w:rPr>
              <w:t>0.</w:t>
            </w:r>
            <w:r w:rsidR="00D45DF4">
              <w:rPr>
                <w:rFonts w:asciiTheme="minorHAnsi" w:hAnsiTheme="minorHAnsi" w:cstheme="minorHAnsi"/>
                <w:sz w:val="20"/>
                <w:szCs w:val="20"/>
              </w:rPr>
              <w:t>1</w:t>
            </w:r>
            <w:r w:rsidR="005655C0">
              <w:rPr>
                <w:rFonts w:asciiTheme="minorHAnsi" w:hAnsiTheme="minorHAnsi" w:cstheme="minorHAnsi"/>
                <w:sz w:val="20"/>
                <w:szCs w:val="20"/>
              </w:rPr>
              <w:t>5</w:t>
            </w:r>
            <w:r w:rsidR="00D45DF4">
              <w:rPr>
                <w:rFonts w:asciiTheme="minorHAnsi" w:hAnsiTheme="minorHAnsi" w:cstheme="minorHAnsi"/>
                <w:sz w:val="20"/>
                <w:szCs w:val="20"/>
              </w:rPr>
              <w:t xml:space="preserve"> and </w:t>
            </w:r>
            <w:r w:rsidR="005655C0">
              <w:rPr>
                <w:rFonts w:asciiTheme="minorHAnsi" w:hAnsiTheme="minorHAnsi" w:cstheme="minorHAnsi"/>
                <w:sz w:val="20"/>
                <w:szCs w:val="20"/>
              </w:rPr>
              <w:t>0.5</w:t>
            </w:r>
            <w:r w:rsidR="00427215">
              <w:rPr>
                <w:rFonts w:asciiTheme="minorHAnsi" w:hAnsiTheme="minorHAnsi" w:cstheme="minorHAnsi"/>
                <w:sz w:val="20"/>
                <w:szCs w:val="20"/>
              </w:rPr>
              <w:t>1</w:t>
            </w:r>
            <w:r w:rsidR="00D45DF4">
              <w:rPr>
                <w:rFonts w:asciiTheme="minorHAnsi" w:hAnsiTheme="minorHAnsi" w:cstheme="minorHAnsi"/>
                <w:sz w:val="20"/>
                <w:szCs w:val="20"/>
              </w:rPr>
              <w:t xml:space="preserve">% to </w:t>
            </w:r>
            <w:r w:rsidR="00C62A7D">
              <w:rPr>
                <w:rFonts w:asciiTheme="minorHAnsi" w:hAnsiTheme="minorHAnsi" w:cstheme="minorHAnsi"/>
                <w:sz w:val="20"/>
                <w:szCs w:val="20"/>
              </w:rPr>
              <w:t xml:space="preserve">habitat conversion to unsuitable in these two LAUs, respectively. </w:t>
            </w:r>
            <w:r w:rsidR="00364C2A">
              <w:rPr>
                <w:rFonts w:asciiTheme="minorHAnsi" w:hAnsiTheme="minorHAnsi" w:cstheme="minorHAnsi"/>
                <w:sz w:val="20"/>
                <w:szCs w:val="20"/>
              </w:rPr>
              <w:t>There have been four SBEADMR timber sales in these two LAUs</w:t>
            </w:r>
            <w:r w:rsidR="00332C40">
              <w:rPr>
                <w:rFonts w:asciiTheme="minorHAnsi" w:hAnsiTheme="minorHAnsi" w:cstheme="minorHAnsi"/>
                <w:sz w:val="20"/>
                <w:szCs w:val="20"/>
              </w:rPr>
              <w:t>, all salvage sales</w:t>
            </w:r>
            <w:r w:rsidR="001E08A8">
              <w:rPr>
                <w:rFonts w:asciiTheme="minorHAnsi" w:hAnsiTheme="minorHAnsi" w:cstheme="minorHAnsi"/>
                <w:sz w:val="20"/>
                <w:szCs w:val="20"/>
              </w:rPr>
              <w:t xml:space="preserve"> that were awarded in FY2017, prior to the 2020 change detection update.</w:t>
            </w:r>
            <w:r w:rsidR="00C347E7">
              <w:rPr>
                <w:rFonts w:asciiTheme="minorHAnsi" w:hAnsiTheme="minorHAnsi" w:cstheme="minorHAnsi"/>
                <w:sz w:val="20"/>
                <w:szCs w:val="20"/>
              </w:rPr>
              <w:t xml:space="preserve"> </w:t>
            </w:r>
            <w:r w:rsidR="00427215">
              <w:rPr>
                <w:rFonts w:asciiTheme="minorHAnsi" w:hAnsiTheme="minorHAnsi" w:cstheme="minorHAnsi"/>
                <w:sz w:val="20"/>
                <w:szCs w:val="20"/>
              </w:rPr>
              <w:t xml:space="preserve"> Salvage </w:t>
            </w:r>
            <w:r w:rsidR="00D1325F">
              <w:rPr>
                <w:rFonts w:asciiTheme="minorHAnsi" w:hAnsiTheme="minorHAnsi" w:cstheme="minorHAnsi"/>
                <w:sz w:val="20"/>
                <w:szCs w:val="20"/>
              </w:rPr>
              <w:t>harvest occurs in stands already co</w:t>
            </w:r>
            <w:r w:rsidR="00C56E98">
              <w:rPr>
                <w:rFonts w:asciiTheme="minorHAnsi" w:hAnsiTheme="minorHAnsi" w:cstheme="minorHAnsi"/>
                <w:sz w:val="20"/>
                <w:szCs w:val="20"/>
              </w:rPr>
              <w:t>n</w:t>
            </w:r>
            <w:r w:rsidR="00D1325F">
              <w:rPr>
                <w:rFonts w:asciiTheme="minorHAnsi" w:hAnsiTheme="minorHAnsi" w:cstheme="minorHAnsi"/>
                <w:sz w:val="20"/>
                <w:szCs w:val="20"/>
              </w:rPr>
              <w:t xml:space="preserve">verted to unsuitable lynx habitat due to beetle activity, so does not </w:t>
            </w:r>
            <w:r w:rsidR="007123FB">
              <w:rPr>
                <w:rFonts w:asciiTheme="minorHAnsi" w:hAnsiTheme="minorHAnsi" w:cstheme="minorHAnsi"/>
                <w:sz w:val="20"/>
                <w:szCs w:val="20"/>
              </w:rPr>
              <w:t>contribute to further habitat conversion.</w:t>
            </w:r>
          </w:p>
          <w:p w14:paraId="4371651A" w14:textId="0BB4E237" w:rsidR="006F6B24" w:rsidRPr="00FF0658" w:rsidRDefault="006F6B24" w:rsidP="006F6B24">
            <w:pPr>
              <w:pStyle w:val="TableParagraph"/>
              <w:rPr>
                <w:rFonts w:asciiTheme="minorHAnsi" w:hAnsiTheme="minorHAnsi" w:cstheme="minorHAnsi"/>
                <w:sz w:val="20"/>
                <w:szCs w:val="20"/>
              </w:rPr>
            </w:pPr>
            <w:r w:rsidRPr="00F16B63">
              <w:rPr>
                <w:rFonts w:asciiTheme="minorHAnsi" w:hAnsiTheme="minorHAnsi" w:cstheme="minorHAnsi"/>
                <w:sz w:val="20"/>
                <w:szCs w:val="20"/>
              </w:rPr>
              <w:t xml:space="preserve">No management activities that could convert lynx habitat are planned in these LAUs. Other than these LAUs, no other LAUs have reached </w:t>
            </w:r>
            <w:r>
              <w:rPr>
                <w:rFonts w:asciiTheme="minorHAnsi" w:hAnsiTheme="minorHAnsi" w:cstheme="minorHAnsi"/>
                <w:sz w:val="20"/>
                <w:szCs w:val="20"/>
              </w:rPr>
              <w:t>the 3</w:t>
            </w:r>
            <w:r w:rsidRPr="00F16B63">
              <w:rPr>
                <w:rFonts w:asciiTheme="minorHAnsi" w:hAnsiTheme="minorHAnsi" w:cstheme="minorHAnsi"/>
                <w:sz w:val="20"/>
                <w:szCs w:val="20"/>
              </w:rPr>
              <w:t xml:space="preserve">0% </w:t>
            </w:r>
            <w:r>
              <w:rPr>
                <w:rFonts w:asciiTheme="minorHAnsi" w:hAnsiTheme="minorHAnsi" w:cstheme="minorHAnsi"/>
                <w:sz w:val="20"/>
                <w:szCs w:val="20"/>
              </w:rPr>
              <w:t>threshold</w:t>
            </w:r>
            <w:r w:rsidRPr="00F16B63">
              <w:rPr>
                <w:rFonts w:asciiTheme="minorHAnsi" w:hAnsiTheme="minorHAnsi" w:cstheme="minorHAnsi"/>
                <w:sz w:val="20"/>
                <w:szCs w:val="20"/>
              </w:rPr>
              <w:t xml:space="preserve">. </w:t>
            </w:r>
            <w:r w:rsidR="00D20EE0">
              <w:rPr>
                <w:rFonts w:asciiTheme="minorHAnsi" w:hAnsiTheme="minorHAnsi" w:cstheme="minorHAnsi"/>
                <w:sz w:val="20"/>
                <w:szCs w:val="20"/>
              </w:rPr>
              <w:t>There is no need to</w:t>
            </w:r>
            <w:r w:rsidRPr="00F16B63">
              <w:rPr>
                <w:rFonts w:asciiTheme="minorHAnsi" w:hAnsiTheme="minorHAnsi" w:cstheme="minorHAnsi"/>
                <w:sz w:val="20"/>
                <w:szCs w:val="20"/>
              </w:rPr>
              <w:t xml:space="preserve"> discontinue or modify management actions to avoid exceeding the 30% threshold </w:t>
            </w:r>
            <w:proofErr w:type="gramStart"/>
            <w:r w:rsidRPr="00F16B63">
              <w:rPr>
                <w:rFonts w:asciiTheme="minorHAnsi" w:hAnsiTheme="minorHAnsi" w:cstheme="minorHAnsi"/>
                <w:sz w:val="20"/>
                <w:szCs w:val="20"/>
              </w:rPr>
              <w:t>at this time</w:t>
            </w:r>
            <w:proofErr w:type="gramEnd"/>
            <w:r w:rsidRPr="00F16B63">
              <w:rPr>
                <w:rFonts w:asciiTheme="minorHAnsi" w:hAnsiTheme="minorHAnsi" w:cstheme="minorHAnsi"/>
                <w:sz w:val="20"/>
                <w:szCs w:val="20"/>
              </w:rPr>
              <w:t>.</w:t>
            </w:r>
            <w:r>
              <w:rPr>
                <w:rFonts w:asciiTheme="minorHAnsi" w:hAnsiTheme="minorHAnsi" w:cstheme="minorHAnsi"/>
                <w:sz w:val="20"/>
                <w:szCs w:val="20"/>
              </w:rPr>
              <w:t xml:space="preserve"> </w:t>
            </w:r>
            <w:r w:rsidRPr="00D20EE0">
              <w:rPr>
                <w:rFonts w:asciiTheme="minorHAnsi" w:hAnsiTheme="minorHAnsi" w:cstheme="minorHAnsi"/>
                <w:i/>
                <w:iCs/>
                <w:sz w:val="20"/>
                <w:szCs w:val="20"/>
              </w:rPr>
              <w:t xml:space="preserve">Appendix </w:t>
            </w:r>
            <w:r w:rsidR="00170BA8">
              <w:rPr>
                <w:rFonts w:asciiTheme="minorHAnsi" w:hAnsiTheme="minorHAnsi" w:cstheme="minorHAnsi"/>
                <w:i/>
                <w:iCs/>
                <w:sz w:val="20"/>
                <w:szCs w:val="20"/>
              </w:rPr>
              <w:t>B</w:t>
            </w:r>
            <w:r w:rsidRPr="00D20EE0">
              <w:rPr>
                <w:rFonts w:asciiTheme="minorHAnsi" w:hAnsiTheme="minorHAnsi" w:cstheme="minorHAnsi"/>
                <w:i/>
                <w:iCs/>
                <w:sz w:val="20"/>
                <w:szCs w:val="20"/>
              </w:rPr>
              <w:t xml:space="preserve"> reflects current lynx habitat status by LAU (</w:t>
            </w:r>
            <w:r w:rsidRPr="005D70F7">
              <w:rPr>
                <w:rFonts w:asciiTheme="minorHAnsi" w:hAnsiTheme="minorHAnsi" w:cstheme="minorHAnsi"/>
                <w:i/>
                <w:iCs/>
                <w:sz w:val="20"/>
                <w:szCs w:val="20"/>
                <w:highlight w:val="yellow"/>
              </w:rPr>
              <w:t>updated March 2</w:t>
            </w:r>
            <w:r w:rsidR="006339B5" w:rsidRPr="005D70F7">
              <w:rPr>
                <w:rFonts w:asciiTheme="minorHAnsi" w:hAnsiTheme="minorHAnsi" w:cstheme="minorHAnsi"/>
                <w:i/>
                <w:iCs/>
                <w:sz w:val="20"/>
                <w:szCs w:val="20"/>
                <w:highlight w:val="yellow"/>
              </w:rPr>
              <w:t>2</w:t>
            </w:r>
            <w:r w:rsidRPr="005D70F7">
              <w:rPr>
                <w:rFonts w:asciiTheme="minorHAnsi" w:hAnsiTheme="minorHAnsi" w:cstheme="minorHAnsi"/>
                <w:i/>
                <w:iCs/>
                <w:sz w:val="20"/>
                <w:szCs w:val="20"/>
                <w:highlight w:val="yellow"/>
              </w:rPr>
              <w:t>, 202</w:t>
            </w:r>
            <w:r w:rsidR="006339B5" w:rsidRPr="005D70F7">
              <w:rPr>
                <w:rFonts w:asciiTheme="minorHAnsi" w:hAnsiTheme="minorHAnsi" w:cstheme="minorHAnsi"/>
                <w:i/>
                <w:iCs/>
                <w:sz w:val="20"/>
                <w:szCs w:val="20"/>
                <w:highlight w:val="yellow"/>
              </w:rPr>
              <w:t>3</w:t>
            </w:r>
            <w:r w:rsidRPr="00D20EE0">
              <w:rPr>
                <w:rFonts w:asciiTheme="minorHAnsi" w:hAnsiTheme="minorHAnsi" w:cstheme="minorHAnsi"/>
                <w:i/>
                <w:iCs/>
                <w:sz w:val="20"/>
                <w:szCs w:val="20"/>
              </w:rPr>
              <w:t>).</w:t>
            </w:r>
          </w:p>
        </w:tc>
        <w:tc>
          <w:tcPr>
            <w:tcW w:w="2070" w:type="dxa"/>
          </w:tcPr>
          <w:p w14:paraId="475D7CC5" w14:textId="77777777" w:rsidR="00F64F10" w:rsidRPr="00F64F10" w:rsidRDefault="00F64F10" w:rsidP="00F64F10">
            <w:pPr>
              <w:pStyle w:val="TableParagraph"/>
              <w:rPr>
                <w:rFonts w:asciiTheme="minorHAnsi" w:hAnsiTheme="minorHAnsi" w:cstheme="minorHAnsi"/>
                <w:i/>
                <w:iCs/>
                <w:sz w:val="20"/>
                <w:szCs w:val="20"/>
              </w:rPr>
            </w:pPr>
            <w:r>
              <w:rPr>
                <w:rFonts w:asciiTheme="minorHAnsi" w:hAnsiTheme="minorHAnsi" w:cstheme="minorHAnsi"/>
                <w:i/>
                <w:iCs/>
                <w:sz w:val="20"/>
                <w:szCs w:val="20"/>
              </w:rPr>
              <w:t>No changes to SBEADMR needed at this time.</w:t>
            </w:r>
          </w:p>
          <w:p w14:paraId="704069B0" w14:textId="34A3CDB0" w:rsidR="006F6B24" w:rsidRPr="002400FA" w:rsidRDefault="006F6B24" w:rsidP="006F6B24">
            <w:pPr>
              <w:pStyle w:val="TableParagraph"/>
              <w:rPr>
                <w:rFonts w:asciiTheme="minorHAnsi" w:hAnsiTheme="minorHAnsi" w:cstheme="minorHAnsi"/>
                <w:sz w:val="20"/>
                <w:szCs w:val="20"/>
              </w:rPr>
            </w:pPr>
          </w:p>
        </w:tc>
        <w:tc>
          <w:tcPr>
            <w:tcW w:w="1980" w:type="dxa"/>
          </w:tcPr>
          <w:p w14:paraId="72237D92" w14:textId="0B16B507" w:rsidR="006F6B24" w:rsidRPr="00BC730F" w:rsidRDefault="006F6B24" w:rsidP="006F6B24">
            <w:pPr>
              <w:pStyle w:val="TableParagraph"/>
              <w:rPr>
                <w:rFonts w:asciiTheme="minorHAnsi" w:hAnsiTheme="minorHAnsi" w:cstheme="minorHAnsi"/>
                <w:bCs/>
                <w:i/>
                <w:iCs/>
                <w:sz w:val="20"/>
                <w:szCs w:val="20"/>
              </w:rPr>
            </w:pPr>
          </w:p>
        </w:tc>
        <w:tc>
          <w:tcPr>
            <w:tcW w:w="3690" w:type="dxa"/>
          </w:tcPr>
          <w:p w14:paraId="3076CD71" w14:textId="77777777" w:rsidR="006F6B24" w:rsidRDefault="006F6B24" w:rsidP="006F6B24">
            <w:pPr>
              <w:pStyle w:val="TableParagraph"/>
              <w:rPr>
                <w:rFonts w:asciiTheme="minorHAnsi" w:hAnsiTheme="minorHAnsi" w:cstheme="minorHAnsi"/>
                <w:sz w:val="20"/>
                <w:szCs w:val="20"/>
              </w:rPr>
            </w:pPr>
            <w:r>
              <w:rPr>
                <w:rFonts w:asciiTheme="minorHAnsi" w:hAnsiTheme="minorHAnsi" w:cstheme="minorHAnsi"/>
                <w:sz w:val="20"/>
                <w:szCs w:val="20"/>
              </w:rPr>
              <w:t xml:space="preserve">The 2020 change detection update to </w:t>
            </w:r>
            <w:proofErr w:type="spellStart"/>
            <w:r>
              <w:rPr>
                <w:rFonts w:asciiTheme="minorHAnsi" w:hAnsiTheme="minorHAnsi" w:cstheme="minorHAnsi"/>
                <w:sz w:val="20"/>
                <w:szCs w:val="20"/>
              </w:rPr>
              <w:t>FSVeg</w:t>
            </w:r>
            <w:proofErr w:type="spellEnd"/>
            <w:r>
              <w:rPr>
                <w:rFonts w:asciiTheme="minorHAnsi" w:hAnsiTheme="minorHAnsi" w:cstheme="minorHAnsi"/>
                <w:sz w:val="20"/>
                <w:szCs w:val="20"/>
              </w:rPr>
              <w:t xml:space="preserve">, which updated the GMUG’s lynx habitat mapping in 2021, reset lynx habitat acres and resulted in identifying LAUs with more than 30% of lynx habitat in an unsuitable condition. These LAUs will not have future vegetation management that would convert additional habitat to an unsuitable condition while they remain above the 30% threshold. </w:t>
            </w:r>
          </w:p>
          <w:p w14:paraId="569534F6" w14:textId="319738A6" w:rsidR="006F6B24" w:rsidRPr="000B2036" w:rsidRDefault="006F6B24" w:rsidP="006F6B24">
            <w:pPr>
              <w:pStyle w:val="TableParagraph"/>
              <w:rPr>
                <w:rFonts w:asciiTheme="minorHAnsi" w:hAnsiTheme="minorHAnsi" w:cstheme="minorHAnsi"/>
                <w:sz w:val="20"/>
                <w:szCs w:val="20"/>
              </w:rPr>
            </w:pPr>
          </w:p>
        </w:tc>
      </w:tr>
      <w:tr w:rsidR="00792D4B" w:rsidRPr="000B2036" w14:paraId="73717FEC" w14:textId="77777777" w:rsidTr="505C20AD">
        <w:trPr>
          <w:trHeight w:val="1268"/>
        </w:trPr>
        <w:tc>
          <w:tcPr>
            <w:tcW w:w="2520" w:type="dxa"/>
          </w:tcPr>
          <w:p w14:paraId="22329302" w14:textId="77777777" w:rsidR="00792D4B" w:rsidRPr="001A69A6" w:rsidRDefault="00792D4B" w:rsidP="00792D4B">
            <w:pPr>
              <w:pStyle w:val="TableParagraph"/>
              <w:spacing w:line="253" w:lineRule="exact"/>
              <w:rPr>
                <w:rFonts w:asciiTheme="minorHAnsi" w:hAnsiTheme="minorHAnsi" w:cstheme="minorHAnsi"/>
                <w:sz w:val="16"/>
                <w:szCs w:val="16"/>
              </w:rPr>
            </w:pPr>
            <w:r w:rsidRPr="00780779">
              <w:rPr>
                <w:rFonts w:asciiTheme="minorHAnsi" w:hAnsiTheme="minorHAnsi" w:cstheme="minorHAnsi"/>
                <w:sz w:val="20"/>
                <w:szCs w:val="20"/>
              </w:rPr>
              <w:t xml:space="preserve">No more than 15% of lynx habitat in a Lynx Analysis Unit (LAU) would be regenerated via forest vegetation management over a 10-year period starting in 2009 </w:t>
            </w:r>
            <w:r w:rsidRPr="001A69A6">
              <w:rPr>
                <w:rFonts w:asciiTheme="minorHAnsi" w:hAnsiTheme="minorHAnsi" w:cstheme="minorHAnsi"/>
                <w:sz w:val="16"/>
                <w:szCs w:val="16"/>
              </w:rPr>
              <w:t>(Southern Rockies Lynx Amendment</w:t>
            </w:r>
          </w:p>
          <w:p w14:paraId="02BF0F28" w14:textId="3F28A6E7" w:rsidR="00792D4B" w:rsidRPr="000B2036" w:rsidRDefault="00792D4B" w:rsidP="00792D4B">
            <w:pPr>
              <w:pStyle w:val="TableParagraph"/>
              <w:spacing w:line="253" w:lineRule="exact"/>
              <w:rPr>
                <w:rFonts w:asciiTheme="minorHAnsi" w:hAnsiTheme="minorHAnsi" w:cstheme="minorHAnsi"/>
                <w:sz w:val="20"/>
                <w:szCs w:val="20"/>
              </w:rPr>
            </w:pPr>
            <w:r w:rsidRPr="001A69A6">
              <w:rPr>
                <w:rFonts w:asciiTheme="minorHAnsi" w:hAnsiTheme="minorHAnsi" w:cstheme="minorHAnsi"/>
                <w:sz w:val="16"/>
                <w:szCs w:val="16"/>
              </w:rPr>
              <w:t>Standard VEG S2; Decision Trigger, FEIS, Table 6, pp. 44-45)</w:t>
            </w:r>
          </w:p>
        </w:tc>
        <w:tc>
          <w:tcPr>
            <w:tcW w:w="1620" w:type="dxa"/>
          </w:tcPr>
          <w:p w14:paraId="76B52082" w14:textId="7929F8C6" w:rsidR="00792D4B" w:rsidRDefault="00792D4B" w:rsidP="00792D4B">
            <w:pPr>
              <w:pStyle w:val="TableParagraph"/>
              <w:rPr>
                <w:rFonts w:asciiTheme="minorHAnsi" w:hAnsiTheme="minorHAnsi" w:cstheme="minorHAnsi"/>
                <w:sz w:val="20"/>
                <w:szCs w:val="20"/>
              </w:rPr>
            </w:pPr>
            <w:r>
              <w:rPr>
                <w:rFonts w:asciiTheme="minorHAnsi" w:hAnsiTheme="minorHAnsi" w:cstheme="minorHAnsi"/>
                <w:sz w:val="20"/>
                <w:szCs w:val="20"/>
              </w:rPr>
              <w:t>GMUG Forest Biologist tracks annually based on FACTs</w:t>
            </w:r>
          </w:p>
        </w:tc>
        <w:tc>
          <w:tcPr>
            <w:tcW w:w="6930" w:type="dxa"/>
          </w:tcPr>
          <w:p w14:paraId="5A9B159B" w14:textId="60E08268" w:rsidR="00792D4B" w:rsidRPr="001E3C4E" w:rsidRDefault="00792D4B" w:rsidP="00792D4B">
            <w:pPr>
              <w:pStyle w:val="TableParagraph"/>
              <w:rPr>
                <w:rFonts w:asciiTheme="minorHAnsi" w:hAnsiTheme="minorHAnsi" w:cstheme="minorHAnsi"/>
                <w:sz w:val="20"/>
                <w:szCs w:val="20"/>
              </w:rPr>
            </w:pPr>
            <w:r>
              <w:rPr>
                <w:rFonts w:asciiTheme="minorHAnsi" w:hAnsiTheme="minorHAnsi" w:cstheme="minorHAnsi"/>
                <w:sz w:val="20"/>
                <w:szCs w:val="20"/>
              </w:rPr>
              <w:t>A</w:t>
            </w:r>
            <w:r w:rsidRPr="001E3C4E">
              <w:rPr>
                <w:rFonts w:asciiTheme="minorHAnsi" w:hAnsiTheme="minorHAnsi" w:cstheme="minorHAnsi"/>
                <w:sz w:val="20"/>
                <w:szCs w:val="20"/>
              </w:rPr>
              <w:t>ll statistics related to lynx habitat were updated</w:t>
            </w:r>
            <w:r>
              <w:rPr>
                <w:rFonts w:asciiTheme="minorHAnsi" w:hAnsiTheme="minorHAnsi" w:cstheme="minorHAnsi"/>
                <w:sz w:val="20"/>
                <w:szCs w:val="20"/>
              </w:rPr>
              <w:t xml:space="preserve"> for the last 25-year period (1996 – 2021)</w:t>
            </w:r>
            <w:r w:rsidRPr="001E3C4E">
              <w:rPr>
                <w:rFonts w:asciiTheme="minorHAnsi" w:hAnsiTheme="minorHAnsi" w:cstheme="minorHAnsi"/>
                <w:sz w:val="20"/>
                <w:szCs w:val="20"/>
              </w:rPr>
              <w:t>.  To accurately determine the amount lynx habitat converted to unsuitable</w:t>
            </w:r>
            <w:r>
              <w:rPr>
                <w:rFonts w:asciiTheme="minorHAnsi" w:hAnsiTheme="minorHAnsi" w:cstheme="minorHAnsi"/>
                <w:sz w:val="20"/>
                <w:szCs w:val="20"/>
              </w:rPr>
              <w:t>,</w:t>
            </w:r>
            <w:r w:rsidRPr="001E3C4E">
              <w:rPr>
                <w:rFonts w:asciiTheme="minorHAnsi" w:hAnsiTheme="minorHAnsi" w:cstheme="minorHAnsi"/>
                <w:sz w:val="20"/>
                <w:szCs w:val="20"/>
              </w:rPr>
              <w:t xml:space="preserve"> an analysis of all management actions from 199</w:t>
            </w:r>
            <w:r>
              <w:rPr>
                <w:rFonts w:asciiTheme="minorHAnsi" w:hAnsiTheme="minorHAnsi" w:cstheme="minorHAnsi"/>
                <w:sz w:val="20"/>
                <w:szCs w:val="20"/>
              </w:rPr>
              <w:t>6</w:t>
            </w:r>
            <w:r w:rsidRPr="001E3C4E">
              <w:rPr>
                <w:rFonts w:asciiTheme="minorHAnsi" w:hAnsiTheme="minorHAnsi" w:cstheme="minorHAnsi"/>
                <w:sz w:val="20"/>
                <w:szCs w:val="20"/>
              </w:rPr>
              <w:t>-202</w:t>
            </w:r>
            <w:r>
              <w:rPr>
                <w:rFonts w:asciiTheme="minorHAnsi" w:hAnsiTheme="minorHAnsi" w:cstheme="minorHAnsi"/>
                <w:sz w:val="20"/>
                <w:szCs w:val="20"/>
              </w:rPr>
              <w:t>1</w:t>
            </w:r>
            <w:r w:rsidRPr="001E3C4E">
              <w:rPr>
                <w:rFonts w:asciiTheme="minorHAnsi" w:hAnsiTheme="minorHAnsi" w:cstheme="minorHAnsi"/>
                <w:sz w:val="20"/>
                <w:szCs w:val="20"/>
              </w:rPr>
              <w:t xml:space="preserve"> was completed.  The SBEADMR EIS assumed a 25 percent incidental loss to lynx habitat resulting from salvage treatments and a 15 percent loss from resiliency treatments.  All new road construction in lynx habitat was considered a 100 percent loss. </w:t>
            </w:r>
          </w:p>
          <w:p w14:paraId="0A98C57C" w14:textId="77777777" w:rsidR="00792D4B" w:rsidRPr="001E3C4E" w:rsidRDefault="00792D4B" w:rsidP="00792D4B">
            <w:pPr>
              <w:pStyle w:val="TableParagraph"/>
              <w:rPr>
                <w:rFonts w:asciiTheme="minorHAnsi" w:hAnsiTheme="minorHAnsi" w:cstheme="minorHAnsi"/>
                <w:sz w:val="20"/>
                <w:szCs w:val="20"/>
              </w:rPr>
            </w:pPr>
          </w:p>
          <w:p w14:paraId="1DAD172A" w14:textId="0247D68F" w:rsidR="00792D4B" w:rsidRPr="001E3C4E" w:rsidRDefault="00792D4B" w:rsidP="00792D4B">
            <w:pPr>
              <w:pStyle w:val="TableParagraph"/>
              <w:rPr>
                <w:rFonts w:asciiTheme="minorHAnsi" w:hAnsiTheme="minorHAnsi" w:cstheme="minorHAnsi"/>
                <w:sz w:val="20"/>
                <w:szCs w:val="20"/>
              </w:rPr>
            </w:pPr>
            <w:r>
              <w:rPr>
                <w:rFonts w:asciiTheme="minorHAnsi" w:hAnsiTheme="minorHAnsi" w:cstheme="minorHAnsi"/>
                <w:sz w:val="20"/>
                <w:szCs w:val="20"/>
              </w:rPr>
              <w:t xml:space="preserve">There are 5 LAUs at or exceeding 15% unsuitable. Those exceeding 15% unsuitable is due to the tree mortality from the spruce-beetle epidemic. </w:t>
            </w:r>
            <w:r w:rsidRPr="00752C51">
              <w:rPr>
                <w:rFonts w:asciiTheme="minorHAnsi" w:hAnsiTheme="minorHAnsi" w:cstheme="minorHAnsi"/>
                <w:b/>
                <w:bCs/>
                <w:sz w:val="20"/>
                <w:szCs w:val="20"/>
              </w:rPr>
              <w:t>When analyzing acres converted to unsuitable only from forest management actions, no LAUs are at 15% unsuitable</w:t>
            </w:r>
            <w:r w:rsidRPr="001E3C4E">
              <w:rPr>
                <w:rFonts w:asciiTheme="minorHAnsi" w:hAnsiTheme="minorHAnsi" w:cstheme="minorHAnsi"/>
                <w:sz w:val="20"/>
                <w:szCs w:val="20"/>
              </w:rPr>
              <w:t>. See GMUG Lynx Analysis Units Statistics spreadsheet for details</w:t>
            </w:r>
            <w:r>
              <w:rPr>
                <w:rFonts w:asciiTheme="minorHAnsi" w:hAnsiTheme="minorHAnsi" w:cstheme="minorHAnsi"/>
                <w:sz w:val="20"/>
                <w:szCs w:val="20"/>
              </w:rPr>
              <w:t xml:space="preserve"> (Appendix B)</w:t>
            </w:r>
            <w:r w:rsidRPr="001E3C4E">
              <w:rPr>
                <w:rFonts w:asciiTheme="minorHAnsi" w:hAnsiTheme="minorHAnsi" w:cstheme="minorHAnsi"/>
                <w:sz w:val="20"/>
                <w:szCs w:val="20"/>
              </w:rPr>
              <w:t>.</w:t>
            </w:r>
          </w:p>
        </w:tc>
        <w:tc>
          <w:tcPr>
            <w:tcW w:w="2070" w:type="dxa"/>
          </w:tcPr>
          <w:p w14:paraId="68885F44" w14:textId="77777777" w:rsidR="00F64F10" w:rsidRPr="00F64F10" w:rsidRDefault="00F64F10" w:rsidP="00F64F10">
            <w:pPr>
              <w:pStyle w:val="TableParagraph"/>
              <w:rPr>
                <w:rFonts w:asciiTheme="minorHAnsi" w:hAnsiTheme="minorHAnsi" w:cstheme="minorHAnsi"/>
                <w:i/>
                <w:iCs/>
                <w:sz w:val="20"/>
                <w:szCs w:val="20"/>
              </w:rPr>
            </w:pPr>
            <w:r>
              <w:rPr>
                <w:rFonts w:asciiTheme="minorHAnsi" w:hAnsiTheme="minorHAnsi" w:cstheme="minorHAnsi"/>
                <w:i/>
                <w:iCs/>
                <w:sz w:val="20"/>
                <w:szCs w:val="20"/>
              </w:rPr>
              <w:t>No changes to SBEADMR needed at this time.</w:t>
            </w:r>
          </w:p>
          <w:p w14:paraId="145E5B16" w14:textId="012B8A17" w:rsidR="00792D4B" w:rsidRPr="002400FA" w:rsidRDefault="00792D4B" w:rsidP="00792D4B">
            <w:pPr>
              <w:pStyle w:val="TableParagraph"/>
              <w:rPr>
                <w:rFonts w:asciiTheme="minorHAnsi" w:hAnsiTheme="minorHAnsi" w:cstheme="minorHAnsi"/>
                <w:sz w:val="20"/>
                <w:szCs w:val="20"/>
              </w:rPr>
            </w:pPr>
          </w:p>
        </w:tc>
        <w:tc>
          <w:tcPr>
            <w:tcW w:w="1980" w:type="dxa"/>
          </w:tcPr>
          <w:p w14:paraId="02D910A5" w14:textId="7E5D3ED6" w:rsidR="00792D4B" w:rsidRPr="00BC730F" w:rsidRDefault="00792D4B" w:rsidP="00792D4B">
            <w:pPr>
              <w:pStyle w:val="TableParagraph"/>
              <w:rPr>
                <w:rFonts w:asciiTheme="minorHAnsi" w:hAnsiTheme="minorHAnsi" w:cstheme="minorHAnsi"/>
                <w:bCs/>
                <w:i/>
                <w:iCs/>
                <w:sz w:val="20"/>
                <w:szCs w:val="20"/>
              </w:rPr>
            </w:pPr>
          </w:p>
        </w:tc>
        <w:tc>
          <w:tcPr>
            <w:tcW w:w="3690" w:type="dxa"/>
          </w:tcPr>
          <w:p w14:paraId="1C23504C" w14:textId="546EC100" w:rsidR="00893B50" w:rsidRDefault="002B3436" w:rsidP="00792D4B">
            <w:pPr>
              <w:pStyle w:val="TableParagraph"/>
              <w:rPr>
                <w:rFonts w:asciiTheme="minorHAnsi" w:hAnsiTheme="minorHAnsi" w:cstheme="minorHAnsi"/>
                <w:sz w:val="20"/>
                <w:szCs w:val="20"/>
              </w:rPr>
            </w:pPr>
            <w:r>
              <w:rPr>
                <w:rFonts w:asciiTheme="minorHAnsi" w:hAnsiTheme="minorHAnsi" w:cstheme="minorHAnsi"/>
                <w:sz w:val="20"/>
                <w:szCs w:val="20"/>
              </w:rPr>
              <w:t xml:space="preserve">Unlike SRLA Standard Veg S1, Standard Veg S2 is measured </w:t>
            </w:r>
            <w:r>
              <w:rPr>
                <w:rFonts w:asciiTheme="minorHAnsi" w:hAnsiTheme="minorHAnsi" w:cstheme="minorHAnsi"/>
                <w:i/>
                <w:iCs/>
                <w:sz w:val="20"/>
                <w:szCs w:val="20"/>
              </w:rPr>
              <w:t>only</w:t>
            </w:r>
            <w:r w:rsidR="00FE03A7">
              <w:rPr>
                <w:rFonts w:asciiTheme="minorHAnsi" w:hAnsiTheme="minorHAnsi" w:cstheme="minorHAnsi"/>
                <w:i/>
                <w:iCs/>
                <w:sz w:val="20"/>
                <w:szCs w:val="20"/>
              </w:rPr>
              <w:t xml:space="preserve"> </w:t>
            </w:r>
            <w:r w:rsidR="00FE03A7">
              <w:rPr>
                <w:rFonts w:asciiTheme="minorHAnsi" w:hAnsiTheme="minorHAnsi" w:cstheme="minorHAnsi"/>
                <w:sz w:val="20"/>
                <w:szCs w:val="20"/>
              </w:rPr>
              <w:t>from impacts due to forest vegetation management.</w:t>
            </w:r>
          </w:p>
          <w:p w14:paraId="37EF0E38" w14:textId="77777777" w:rsidR="00FE03A7" w:rsidRPr="00FE03A7" w:rsidRDefault="00FE03A7" w:rsidP="00792D4B">
            <w:pPr>
              <w:pStyle w:val="TableParagraph"/>
              <w:rPr>
                <w:rFonts w:asciiTheme="minorHAnsi" w:hAnsiTheme="minorHAnsi" w:cstheme="minorHAnsi"/>
                <w:sz w:val="20"/>
                <w:szCs w:val="20"/>
              </w:rPr>
            </w:pPr>
          </w:p>
          <w:p w14:paraId="31835FA0" w14:textId="4B0BBB75" w:rsidR="00792D4B" w:rsidRPr="00FF0658" w:rsidRDefault="00792D4B" w:rsidP="00792D4B">
            <w:pPr>
              <w:pStyle w:val="TableParagraph"/>
              <w:rPr>
                <w:rFonts w:asciiTheme="minorHAnsi" w:hAnsiTheme="minorHAnsi" w:cstheme="minorHAnsi"/>
                <w:sz w:val="20"/>
                <w:szCs w:val="20"/>
              </w:rPr>
            </w:pPr>
            <w:r>
              <w:rPr>
                <w:rFonts w:asciiTheme="minorHAnsi" w:hAnsiTheme="minorHAnsi" w:cstheme="minorHAnsi"/>
                <w:sz w:val="20"/>
                <w:szCs w:val="20"/>
              </w:rPr>
              <w:t xml:space="preserve">We estimate that it takes </w:t>
            </w:r>
            <w:r w:rsidRPr="00FF0658">
              <w:rPr>
                <w:rFonts w:asciiTheme="minorHAnsi" w:hAnsiTheme="minorHAnsi" w:cstheme="minorHAnsi"/>
                <w:sz w:val="20"/>
                <w:szCs w:val="20"/>
              </w:rPr>
              <w:t>25</w:t>
            </w:r>
            <w:r>
              <w:rPr>
                <w:rFonts w:asciiTheme="minorHAnsi" w:hAnsiTheme="minorHAnsi" w:cstheme="minorHAnsi"/>
                <w:sz w:val="20"/>
                <w:szCs w:val="20"/>
              </w:rPr>
              <w:t xml:space="preserve"> years for</w:t>
            </w:r>
            <w:r w:rsidRPr="00FF0658">
              <w:rPr>
                <w:rFonts w:asciiTheme="minorHAnsi" w:hAnsiTheme="minorHAnsi" w:cstheme="minorHAnsi"/>
                <w:sz w:val="20"/>
                <w:szCs w:val="20"/>
              </w:rPr>
              <w:t xml:space="preserve"> a spruce-fir stand </w:t>
            </w:r>
            <w:r>
              <w:rPr>
                <w:rFonts w:asciiTheme="minorHAnsi" w:hAnsiTheme="minorHAnsi" w:cstheme="minorHAnsi"/>
                <w:sz w:val="20"/>
                <w:szCs w:val="20"/>
              </w:rPr>
              <w:t>to</w:t>
            </w:r>
            <w:r w:rsidRPr="00FF0658">
              <w:rPr>
                <w:rFonts w:asciiTheme="minorHAnsi" w:hAnsiTheme="minorHAnsi" w:cstheme="minorHAnsi"/>
                <w:sz w:val="20"/>
                <w:szCs w:val="20"/>
              </w:rPr>
              <w:t xml:space="preserve"> recover following treatment</w:t>
            </w:r>
            <w:r>
              <w:rPr>
                <w:rFonts w:asciiTheme="minorHAnsi" w:hAnsiTheme="minorHAnsi" w:cstheme="minorHAnsi"/>
                <w:sz w:val="20"/>
                <w:szCs w:val="20"/>
              </w:rPr>
              <w:t xml:space="preserve">, such that </w:t>
            </w:r>
            <w:r w:rsidRPr="00FF0658">
              <w:rPr>
                <w:rFonts w:asciiTheme="minorHAnsi" w:hAnsiTheme="minorHAnsi" w:cstheme="minorHAnsi"/>
                <w:sz w:val="20"/>
                <w:szCs w:val="20"/>
              </w:rPr>
              <w:t>understory trees grow above average snow-depth</w:t>
            </w:r>
            <w:r>
              <w:rPr>
                <w:rFonts w:asciiTheme="minorHAnsi" w:hAnsiTheme="minorHAnsi" w:cstheme="minorHAnsi"/>
                <w:sz w:val="20"/>
                <w:szCs w:val="20"/>
              </w:rPr>
              <w:t xml:space="preserve">, then becoming </w:t>
            </w:r>
            <w:r w:rsidRPr="00FF0658">
              <w:rPr>
                <w:rFonts w:asciiTheme="minorHAnsi" w:hAnsiTheme="minorHAnsi" w:cstheme="minorHAnsi"/>
                <w:sz w:val="20"/>
                <w:szCs w:val="20"/>
              </w:rPr>
              <w:t>suitable</w:t>
            </w:r>
            <w:r>
              <w:rPr>
                <w:rFonts w:asciiTheme="minorHAnsi" w:hAnsiTheme="minorHAnsi" w:cstheme="minorHAnsi"/>
                <w:sz w:val="20"/>
                <w:szCs w:val="20"/>
              </w:rPr>
              <w:t xml:space="preserve"> habitat</w:t>
            </w:r>
            <w:r w:rsidRPr="00FF0658">
              <w:rPr>
                <w:rFonts w:asciiTheme="minorHAnsi" w:hAnsiTheme="minorHAnsi" w:cstheme="minorHAnsi"/>
                <w:sz w:val="20"/>
                <w:szCs w:val="20"/>
              </w:rPr>
              <w:t xml:space="preserve"> </w:t>
            </w:r>
            <w:r>
              <w:rPr>
                <w:rFonts w:asciiTheme="minorHAnsi" w:hAnsiTheme="minorHAnsi" w:cstheme="minorHAnsi"/>
                <w:sz w:val="20"/>
                <w:szCs w:val="20"/>
              </w:rPr>
              <w:t xml:space="preserve">for snowshoe hares and lynx </w:t>
            </w:r>
            <w:r w:rsidRPr="00FF0658">
              <w:rPr>
                <w:rFonts w:asciiTheme="minorHAnsi" w:hAnsiTheme="minorHAnsi" w:cstheme="minorHAnsi"/>
                <w:sz w:val="20"/>
                <w:szCs w:val="20"/>
              </w:rPr>
              <w:t>again.</w:t>
            </w:r>
          </w:p>
          <w:p w14:paraId="17F83E51" w14:textId="0CF3AA91" w:rsidR="00792D4B" w:rsidRPr="00FF0658" w:rsidRDefault="00792D4B" w:rsidP="00792D4B">
            <w:pPr>
              <w:pStyle w:val="TableParagraph"/>
              <w:rPr>
                <w:rFonts w:asciiTheme="minorHAnsi" w:hAnsiTheme="minorHAnsi" w:cstheme="minorHAnsi"/>
                <w:sz w:val="20"/>
                <w:szCs w:val="20"/>
              </w:rPr>
            </w:pPr>
          </w:p>
          <w:p w14:paraId="5C603F84" w14:textId="4FFBBBF8" w:rsidR="00792D4B" w:rsidRPr="000B2036" w:rsidRDefault="00792D4B" w:rsidP="00792D4B">
            <w:pPr>
              <w:pStyle w:val="TableParagraph"/>
              <w:rPr>
                <w:rFonts w:asciiTheme="minorHAnsi" w:hAnsiTheme="minorHAnsi" w:cstheme="minorHAnsi"/>
                <w:sz w:val="20"/>
                <w:szCs w:val="20"/>
              </w:rPr>
            </w:pPr>
            <w:r>
              <w:rPr>
                <w:rFonts w:asciiTheme="minorHAnsi" w:hAnsiTheme="minorHAnsi" w:cstheme="minorHAnsi"/>
                <w:sz w:val="20"/>
                <w:szCs w:val="20"/>
              </w:rPr>
              <w:t xml:space="preserve">In places, </w:t>
            </w:r>
            <w:r w:rsidRPr="00FF0658">
              <w:rPr>
                <w:rFonts w:asciiTheme="minorHAnsi" w:hAnsiTheme="minorHAnsi" w:cstheme="minorHAnsi"/>
                <w:sz w:val="20"/>
                <w:szCs w:val="20"/>
              </w:rPr>
              <w:t>treatment</w:t>
            </w:r>
            <w:r>
              <w:rPr>
                <w:rFonts w:asciiTheme="minorHAnsi" w:hAnsiTheme="minorHAnsi" w:cstheme="minorHAnsi"/>
                <w:sz w:val="20"/>
                <w:szCs w:val="20"/>
              </w:rPr>
              <w:t>s</w:t>
            </w:r>
            <w:r w:rsidRPr="00FF0658">
              <w:rPr>
                <w:rFonts w:asciiTheme="minorHAnsi" w:hAnsiTheme="minorHAnsi" w:cstheme="minorHAnsi"/>
                <w:sz w:val="20"/>
                <w:szCs w:val="20"/>
              </w:rPr>
              <w:t xml:space="preserve"> occur in </w:t>
            </w:r>
            <w:r>
              <w:rPr>
                <w:rFonts w:asciiTheme="minorHAnsi" w:hAnsiTheme="minorHAnsi" w:cstheme="minorHAnsi"/>
                <w:sz w:val="20"/>
                <w:szCs w:val="20"/>
              </w:rPr>
              <w:t>habitat considered unsuitable for lynx</w:t>
            </w:r>
            <w:r w:rsidRPr="00FF0658">
              <w:rPr>
                <w:rFonts w:asciiTheme="minorHAnsi" w:hAnsiTheme="minorHAnsi" w:cstheme="minorHAnsi"/>
                <w:sz w:val="20"/>
                <w:szCs w:val="20"/>
              </w:rPr>
              <w:t xml:space="preserve"> </w:t>
            </w:r>
            <w:r>
              <w:rPr>
                <w:rFonts w:asciiTheme="minorHAnsi" w:hAnsiTheme="minorHAnsi" w:cstheme="minorHAnsi"/>
                <w:sz w:val="20"/>
                <w:szCs w:val="20"/>
              </w:rPr>
              <w:t>due to</w:t>
            </w:r>
            <w:r w:rsidRPr="00FF0658">
              <w:rPr>
                <w:rFonts w:asciiTheme="minorHAnsi" w:hAnsiTheme="minorHAnsi" w:cstheme="minorHAnsi"/>
                <w:sz w:val="20"/>
                <w:szCs w:val="20"/>
              </w:rPr>
              <w:t xml:space="preserve"> </w:t>
            </w:r>
            <w:r>
              <w:rPr>
                <w:rFonts w:asciiTheme="minorHAnsi" w:hAnsiTheme="minorHAnsi" w:cstheme="minorHAnsi"/>
                <w:sz w:val="20"/>
                <w:szCs w:val="20"/>
              </w:rPr>
              <w:t xml:space="preserve">tree </w:t>
            </w:r>
            <w:r w:rsidRPr="00FF0658">
              <w:rPr>
                <w:rFonts w:asciiTheme="minorHAnsi" w:hAnsiTheme="minorHAnsi" w:cstheme="minorHAnsi"/>
                <w:sz w:val="20"/>
                <w:szCs w:val="20"/>
              </w:rPr>
              <w:t>mortality</w:t>
            </w:r>
            <w:r>
              <w:rPr>
                <w:rFonts w:asciiTheme="minorHAnsi" w:hAnsiTheme="minorHAnsi" w:cstheme="minorHAnsi"/>
                <w:sz w:val="20"/>
                <w:szCs w:val="20"/>
              </w:rPr>
              <w:t xml:space="preserve"> from beetles (especially where beetle-induced tree mortality affected single-storied stands). In those instances,</w:t>
            </w:r>
            <w:r w:rsidRPr="00FF0658">
              <w:rPr>
                <w:rFonts w:asciiTheme="minorHAnsi" w:hAnsiTheme="minorHAnsi" w:cstheme="minorHAnsi"/>
                <w:sz w:val="20"/>
                <w:szCs w:val="20"/>
              </w:rPr>
              <w:t xml:space="preserve"> </w:t>
            </w:r>
            <w:r>
              <w:rPr>
                <w:rFonts w:asciiTheme="minorHAnsi" w:hAnsiTheme="minorHAnsi" w:cstheme="minorHAnsi"/>
                <w:sz w:val="20"/>
                <w:szCs w:val="20"/>
              </w:rPr>
              <w:lastRenderedPageBreak/>
              <w:t>timber harvesting</w:t>
            </w:r>
            <w:r w:rsidRPr="00FF0658">
              <w:rPr>
                <w:rFonts w:asciiTheme="minorHAnsi" w:hAnsiTheme="minorHAnsi" w:cstheme="minorHAnsi"/>
                <w:sz w:val="20"/>
                <w:szCs w:val="20"/>
              </w:rPr>
              <w:t xml:space="preserve"> </w:t>
            </w:r>
            <w:r>
              <w:rPr>
                <w:rFonts w:asciiTheme="minorHAnsi" w:hAnsiTheme="minorHAnsi" w:cstheme="minorHAnsi"/>
                <w:sz w:val="20"/>
                <w:szCs w:val="20"/>
              </w:rPr>
              <w:t xml:space="preserve">does </w:t>
            </w:r>
            <w:r w:rsidRPr="00FF0658">
              <w:rPr>
                <w:rFonts w:asciiTheme="minorHAnsi" w:hAnsiTheme="minorHAnsi" w:cstheme="minorHAnsi"/>
                <w:sz w:val="20"/>
                <w:szCs w:val="20"/>
              </w:rPr>
              <w:t xml:space="preserve">not </w:t>
            </w:r>
            <w:r>
              <w:rPr>
                <w:rFonts w:asciiTheme="minorHAnsi" w:hAnsiTheme="minorHAnsi" w:cstheme="minorHAnsi"/>
                <w:sz w:val="20"/>
                <w:szCs w:val="20"/>
              </w:rPr>
              <w:t>change the habitat status.</w:t>
            </w:r>
          </w:p>
        </w:tc>
      </w:tr>
      <w:tr w:rsidR="00792D4B" w:rsidRPr="000B2036" w14:paraId="54C79C9A" w14:textId="77777777" w:rsidTr="505C20AD">
        <w:trPr>
          <w:trHeight w:val="1079"/>
        </w:trPr>
        <w:tc>
          <w:tcPr>
            <w:tcW w:w="2520" w:type="dxa"/>
          </w:tcPr>
          <w:p w14:paraId="2633B18A" w14:textId="10FF1E8B" w:rsidR="00792D4B" w:rsidRPr="000B2036" w:rsidRDefault="00792D4B" w:rsidP="00792D4B">
            <w:pPr>
              <w:pStyle w:val="TableParagraph"/>
              <w:spacing w:line="253" w:lineRule="exact"/>
              <w:rPr>
                <w:rFonts w:asciiTheme="minorHAnsi" w:hAnsiTheme="minorHAnsi" w:cstheme="minorHAnsi"/>
                <w:sz w:val="20"/>
                <w:szCs w:val="20"/>
              </w:rPr>
            </w:pPr>
            <w:r w:rsidRPr="000B2036">
              <w:rPr>
                <w:rFonts w:asciiTheme="minorHAnsi" w:hAnsiTheme="minorHAnsi" w:cstheme="minorHAnsi"/>
                <w:sz w:val="20"/>
                <w:szCs w:val="20"/>
              </w:rPr>
              <w:lastRenderedPageBreak/>
              <w:t xml:space="preserve">No more than 3% of lynx habitat on the GMUG </w:t>
            </w:r>
            <w:r>
              <w:rPr>
                <w:rFonts w:asciiTheme="minorHAnsi" w:hAnsiTheme="minorHAnsi" w:cstheme="minorHAnsi"/>
                <w:sz w:val="20"/>
                <w:szCs w:val="20"/>
              </w:rPr>
              <w:t>NF</w:t>
            </w:r>
            <w:r w:rsidRPr="000B2036">
              <w:rPr>
                <w:rFonts w:asciiTheme="minorHAnsi" w:hAnsiTheme="minorHAnsi" w:cstheme="minorHAnsi"/>
                <w:sz w:val="20"/>
                <w:szCs w:val="20"/>
              </w:rPr>
              <w:t xml:space="preserve"> will be thinned</w:t>
            </w:r>
            <w:r w:rsidR="002E1211">
              <w:rPr>
                <w:rFonts w:asciiTheme="minorHAnsi" w:hAnsiTheme="minorHAnsi" w:cstheme="minorHAnsi"/>
                <w:sz w:val="20"/>
                <w:szCs w:val="20"/>
              </w:rPr>
              <w:t xml:space="preserve">. Pre-commercial thinning and similar practices intended to reduce seedling/sapling density </w:t>
            </w:r>
            <w:r w:rsidR="004D24A4">
              <w:rPr>
                <w:rFonts w:asciiTheme="minorHAnsi" w:hAnsiTheme="minorHAnsi" w:cstheme="minorHAnsi"/>
                <w:sz w:val="20"/>
                <w:szCs w:val="20"/>
              </w:rPr>
              <w:t xml:space="preserve">is limited to </w:t>
            </w:r>
            <w:r w:rsidR="00E609DB">
              <w:rPr>
                <w:rFonts w:asciiTheme="minorHAnsi" w:hAnsiTheme="minorHAnsi" w:cstheme="minorHAnsi"/>
                <w:sz w:val="20"/>
                <w:szCs w:val="20"/>
              </w:rPr>
              <w:t xml:space="preserve">stipulations described in SRLA </w:t>
            </w:r>
            <w:r w:rsidR="00D11BEF">
              <w:rPr>
                <w:rFonts w:asciiTheme="minorHAnsi" w:hAnsiTheme="minorHAnsi" w:cstheme="minorHAnsi"/>
                <w:sz w:val="20"/>
                <w:szCs w:val="20"/>
              </w:rPr>
              <w:t>Veg S5.</w:t>
            </w:r>
            <w:r>
              <w:rPr>
                <w:rFonts w:asciiTheme="minorHAnsi" w:hAnsiTheme="minorHAnsi" w:cstheme="minorHAnsi"/>
                <w:sz w:val="20"/>
                <w:szCs w:val="20"/>
              </w:rPr>
              <w:t xml:space="preserve"> </w:t>
            </w:r>
            <w:r w:rsidRPr="001A69A6">
              <w:rPr>
                <w:rFonts w:asciiTheme="minorHAnsi" w:hAnsiTheme="minorHAnsi" w:cstheme="minorHAnsi"/>
                <w:sz w:val="16"/>
                <w:szCs w:val="16"/>
              </w:rPr>
              <w:t>(Southern Rockies Lynx Amendment Standard VEG</w:t>
            </w:r>
            <w:r w:rsidRPr="001A69A6">
              <w:rPr>
                <w:rFonts w:asciiTheme="minorHAnsi" w:hAnsiTheme="minorHAnsi" w:cstheme="minorHAnsi"/>
                <w:spacing w:val="-1"/>
                <w:sz w:val="16"/>
                <w:szCs w:val="16"/>
              </w:rPr>
              <w:t xml:space="preserve"> </w:t>
            </w:r>
            <w:r w:rsidRPr="001A69A6">
              <w:rPr>
                <w:rFonts w:asciiTheme="minorHAnsi" w:hAnsiTheme="minorHAnsi" w:cstheme="minorHAnsi"/>
                <w:spacing w:val="-2"/>
                <w:sz w:val="16"/>
                <w:szCs w:val="16"/>
              </w:rPr>
              <w:t xml:space="preserve">S5, </w:t>
            </w:r>
            <w:r w:rsidRPr="001A69A6">
              <w:rPr>
                <w:rFonts w:asciiTheme="minorHAnsi" w:hAnsiTheme="minorHAnsi" w:cstheme="minorHAnsi"/>
                <w:sz w:val="16"/>
                <w:szCs w:val="16"/>
              </w:rPr>
              <w:t>Decision Trigger, FEIS, Table 6, pp. 44-45)</w:t>
            </w:r>
          </w:p>
        </w:tc>
        <w:tc>
          <w:tcPr>
            <w:tcW w:w="1620" w:type="dxa"/>
          </w:tcPr>
          <w:p w14:paraId="282EB67A" w14:textId="5B4DDA8D" w:rsidR="00792D4B" w:rsidRPr="000B2036" w:rsidRDefault="00792D4B" w:rsidP="00792D4B">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GMUG </w:t>
            </w:r>
            <w:r>
              <w:rPr>
                <w:rFonts w:asciiTheme="minorHAnsi" w:hAnsiTheme="minorHAnsi" w:cstheme="minorHAnsi"/>
                <w:sz w:val="20"/>
                <w:szCs w:val="20"/>
              </w:rPr>
              <w:t>Forest Biologist track thinning activities annually in FACTS.</w:t>
            </w:r>
          </w:p>
        </w:tc>
        <w:tc>
          <w:tcPr>
            <w:tcW w:w="6930" w:type="dxa"/>
          </w:tcPr>
          <w:p w14:paraId="6450983E" w14:textId="3AE39275" w:rsidR="00564658" w:rsidRDefault="00792D4B" w:rsidP="00564658">
            <w:pPr>
              <w:pStyle w:val="TableParagraph"/>
              <w:rPr>
                <w:rFonts w:asciiTheme="minorHAnsi" w:hAnsiTheme="minorHAnsi" w:cstheme="minorHAnsi"/>
                <w:sz w:val="20"/>
                <w:szCs w:val="20"/>
              </w:rPr>
            </w:pPr>
            <w:r>
              <w:t xml:space="preserve"> </w:t>
            </w:r>
            <w:r w:rsidRPr="00D855FE">
              <w:rPr>
                <w:sz w:val="20"/>
                <w:szCs w:val="20"/>
              </w:rPr>
              <w:t xml:space="preserve">We do not anticipate </w:t>
            </w:r>
            <w:r w:rsidRPr="00CC35F7">
              <w:rPr>
                <w:rFonts w:asciiTheme="minorHAnsi" w:hAnsiTheme="minorHAnsi" w:cstheme="minorHAnsi"/>
                <w:sz w:val="20"/>
                <w:szCs w:val="20"/>
              </w:rPr>
              <w:t>thinning i</w:t>
            </w:r>
            <w:r>
              <w:rPr>
                <w:rFonts w:asciiTheme="minorHAnsi" w:hAnsiTheme="minorHAnsi" w:cstheme="minorHAnsi"/>
                <w:sz w:val="20"/>
                <w:szCs w:val="20"/>
              </w:rPr>
              <w:t>n lynx habitat</w:t>
            </w:r>
            <w:r w:rsidRPr="00CC35F7">
              <w:rPr>
                <w:rFonts w:asciiTheme="minorHAnsi" w:hAnsiTheme="minorHAnsi" w:cstheme="minorHAnsi"/>
                <w:sz w:val="20"/>
                <w:szCs w:val="20"/>
              </w:rPr>
              <w:t xml:space="preserve"> under SBEADMR treatments.</w:t>
            </w:r>
            <w:r>
              <w:rPr>
                <w:rFonts w:asciiTheme="minorHAnsi" w:hAnsiTheme="minorHAnsi" w:cstheme="minorHAnsi"/>
                <w:sz w:val="20"/>
                <w:szCs w:val="20"/>
              </w:rPr>
              <w:t xml:space="preserve"> SBEADMR activities in lynx habitat are mostly salvage and resiliency harvest.</w:t>
            </w:r>
            <w:r w:rsidR="00564658">
              <w:rPr>
                <w:rFonts w:asciiTheme="minorHAnsi" w:hAnsiTheme="minorHAnsi" w:cstheme="minorHAnsi"/>
                <w:sz w:val="20"/>
                <w:szCs w:val="20"/>
              </w:rPr>
              <w:t xml:space="preserve"> </w:t>
            </w:r>
            <w:r w:rsidR="00A01B2F">
              <w:rPr>
                <w:rFonts w:asciiTheme="minorHAnsi" w:hAnsiTheme="minorHAnsi" w:cstheme="minorHAnsi"/>
                <w:sz w:val="20"/>
                <w:szCs w:val="20"/>
              </w:rPr>
              <w:t>Prior to SBEADMR</w:t>
            </w:r>
            <w:r w:rsidR="00564658">
              <w:rPr>
                <w:rFonts w:asciiTheme="minorHAnsi" w:hAnsiTheme="minorHAnsi" w:cstheme="minorHAnsi"/>
                <w:sz w:val="20"/>
                <w:szCs w:val="20"/>
              </w:rPr>
              <w:t>, 131 acres have been treated in lynx habitat under the WUI exemption</w:t>
            </w:r>
            <w:r w:rsidR="009A3BBB">
              <w:rPr>
                <w:rFonts w:asciiTheme="minorHAnsi" w:hAnsiTheme="minorHAnsi" w:cstheme="minorHAnsi"/>
                <w:sz w:val="20"/>
                <w:szCs w:val="20"/>
              </w:rPr>
              <w:t>.</w:t>
            </w:r>
            <w:r w:rsidR="00564658">
              <w:rPr>
                <w:rFonts w:asciiTheme="minorHAnsi" w:hAnsiTheme="minorHAnsi" w:cstheme="minorHAnsi"/>
                <w:sz w:val="20"/>
                <w:szCs w:val="20"/>
              </w:rPr>
              <w:t xml:space="preserve"> up to</w:t>
            </w:r>
            <w:r w:rsidR="00564658" w:rsidRPr="000B2036">
              <w:rPr>
                <w:rFonts w:asciiTheme="minorHAnsi" w:hAnsiTheme="minorHAnsi" w:cstheme="minorHAnsi"/>
                <w:sz w:val="20"/>
                <w:szCs w:val="20"/>
              </w:rPr>
              <w:t xml:space="preserve"> </w:t>
            </w:r>
            <w:r w:rsidR="00564658">
              <w:rPr>
                <w:rFonts w:asciiTheme="minorHAnsi" w:hAnsiTheme="minorHAnsi" w:cstheme="minorHAnsi"/>
                <w:sz w:val="20"/>
                <w:szCs w:val="20"/>
              </w:rPr>
              <w:t xml:space="preserve">37,840 acres of lynx habitat on the GMUG can be treated under the WUI exemption. The current Forest balance is </w:t>
            </w:r>
            <w:r w:rsidR="00564658" w:rsidRPr="009A3BBB">
              <w:rPr>
                <w:rFonts w:asciiTheme="minorHAnsi" w:hAnsiTheme="minorHAnsi" w:cstheme="minorHAnsi"/>
                <w:sz w:val="20"/>
                <w:szCs w:val="20"/>
                <w:highlight w:val="yellow"/>
              </w:rPr>
              <w:t>37,</w:t>
            </w:r>
            <w:r w:rsidR="009A3BBB" w:rsidRPr="009A3BBB">
              <w:rPr>
                <w:rFonts w:asciiTheme="minorHAnsi" w:hAnsiTheme="minorHAnsi" w:cstheme="minorHAnsi"/>
                <w:sz w:val="20"/>
                <w:szCs w:val="20"/>
                <w:highlight w:val="yellow"/>
              </w:rPr>
              <w:t>668</w:t>
            </w:r>
            <w:r w:rsidR="00564658" w:rsidRPr="009A3BBB">
              <w:rPr>
                <w:rFonts w:asciiTheme="minorHAnsi" w:hAnsiTheme="minorHAnsi" w:cstheme="minorHAnsi"/>
                <w:sz w:val="20"/>
                <w:szCs w:val="20"/>
                <w:highlight w:val="yellow"/>
              </w:rPr>
              <w:t xml:space="preserve"> acres</w:t>
            </w:r>
            <w:r w:rsidR="00564658">
              <w:rPr>
                <w:rFonts w:asciiTheme="minorHAnsi" w:hAnsiTheme="minorHAnsi" w:cstheme="minorHAnsi"/>
                <w:sz w:val="20"/>
                <w:szCs w:val="20"/>
              </w:rPr>
              <w:t>. We do not expect to approach this threshold with the SBEADMR project.</w:t>
            </w:r>
          </w:p>
          <w:p w14:paraId="231B3AC4" w14:textId="02ED6881" w:rsidR="00792D4B" w:rsidRPr="00CC35F7" w:rsidRDefault="00792D4B" w:rsidP="00792D4B">
            <w:pPr>
              <w:pStyle w:val="TableParagraph"/>
              <w:rPr>
                <w:rFonts w:asciiTheme="minorHAnsi" w:hAnsiTheme="minorHAnsi" w:cstheme="minorHAnsi"/>
                <w:sz w:val="20"/>
                <w:szCs w:val="20"/>
              </w:rPr>
            </w:pPr>
          </w:p>
        </w:tc>
        <w:tc>
          <w:tcPr>
            <w:tcW w:w="2070" w:type="dxa"/>
          </w:tcPr>
          <w:p w14:paraId="52BB9B67" w14:textId="77777777" w:rsidR="00F64F10" w:rsidRPr="00F64F10" w:rsidRDefault="00F64F10" w:rsidP="00F64F10">
            <w:pPr>
              <w:pStyle w:val="TableParagraph"/>
              <w:rPr>
                <w:rFonts w:asciiTheme="minorHAnsi" w:hAnsiTheme="minorHAnsi" w:cstheme="minorHAnsi"/>
                <w:i/>
                <w:iCs/>
                <w:sz w:val="20"/>
                <w:szCs w:val="20"/>
              </w:rPr>
            </w:pPr>
            <w:r>
              <w:rPr>
                <w:rFonts w:asciiTheme="minorHAnsi" w:hAnsiTheme="minorHAnsi" w:cstheme="minorHAnsi"/>
                <w:i/>
                <w:iCs/>
                <w:sz w:val="20"/>
                <w:szCs w:val="20"/>
              </w:rPr>
              <w:t>No changes to SBEADMR needed at this time.</w:t>
            </w:r>
          </w:p>
          <w:p w14:paraId="0D7FF2DA" w14:textId="77777777" w:rsidR="00792D4B" w:rsidRDefault="00792D4B" w:rsidP="00792D4B">
            <w:pPr>
              <w:pStyle w:val="TableParagraph"/>
              <w:rPr>
                <w:rFonts w:asciiTheme="minorHAnsi" w:hAnsiTheme="minorHAnsi" w:cstheme="minorHAnsi"/>
                <w:bCs/>
                <w:sz w:val="20"/>
                <w:szCs w:val="20"/>
                <w:highlight w:val="yellow"/>
              </w:rPr>
            </w:pPr>
          </w:p>
          <w:p w14:paraId="00945843" w14:textId="77777777" w:rsidR="00792D4B" w:rsidRDefault="00792D4B" w:rsidP="00792D4B">
            <w:pPr>
              <w:pStyle w:val="TableParagraph"/>
              <w:rPr>
                <w:rFonts w:asciiTheme="minorHAnsi" w:hAnsiTheme="minorHAnsi" w:cstheme="minorHAnsi"/>
                <w:bCs/>
                <w:sz w:val="20"/>
                <w:szCs w:val="20"/>
                <w:highlight w:val="yellow"/>
              </w:rPr>
            </w:pPr>
          </w:p>
          <w:p w14:paraId="560AA541" w14:textId="77777777" w:rsidR="00792D4B" w:rsidRDefault="00792D4B" w:rsidP="00792D4B">
            <w:pPr>
              <w:pStyle w:val="TableParagraph"/>
              <w:rPr>
                <w:rFonts w:asciiTheme="minorHAnsi" w:hAnsiTheme="minorHAnsi" w:cstheme="minorHAnsi"/>
                <w:bCs/>
                <w:sz w:val="20"/>
                <w:szCs w:val="20"/>
                <w:highlight w:val="yellow"/>
              </w:rPr>
            </w:pPr>
          </w:p>
          <w:p w14:paraId="7172A12D" w14:textId="77777777" w:rsidR="00792D4B" w:rsidRDefault="00792D4B" w:rsidP="00792D4B">
            <w:pPr>
              <w:pStyle w:val="TableParagraph"/>
              <w:rPr>
                <w:rFonts w:asciiTheme="minorHAnsi" w:hAnsiTheme="minorHAnsi" w:cstheme="minorHAnsi"/>
                <w:bCs/>
                <w:sz w:val="20"/>
                <w:szCs w:val="20"/>
                <w:highlight w:val="yellow"/>
              </w:rPr>
            </w:pPr>
          </w:p>
          <w:p w14:paraId="559E3C99" w14:textId="77777777" w:rsidR="00792D4B" w:rsidRDefault="00792D4B" w:rsidP="00792D4B">
            <w:pPr>
              <w:pStyle w:val="TableParagraph"/>
              <w:rPr>
                <w:rFonts w:asciiTheme="minorHAnsi" w:hAnsiTheme="minorHAnsi" w:cstheme="minorHAnsi"/>
                <w:bCs/>
                <w:sz w:val="20"/>
                <w:szCs w:val="20"/>
                <w:highlight w:val="yellow"/>
              </w:rPr>
            </w:pPr>
          </w:p>
          <w:p w14:paraId="3287A029" w14:textId="77777777" w:rsidR="00792D4B" w:rsidRDefault="00792D4B" w:rsidP="00792D4B">
            <w:pPr>
              <w:pStyle w:val="TableParagraph"/>
              <w:rPr>
                <w:rFonts w:asciiTheme="minorHAnsi" w:hAnsiTheme="minorHAnsi" w:cstheme="minorHAnsi"/>
                <w:bCs/>
                <w:sz w:val="20"/>
                <w:szCs w:val="20"/>
                <w:highlight w:val="yellow"/>
              </w:rPr>
            </w:pPr>
          </w:p>
          <w:p w14:paraId="66AA3FE0" w14:textId="0A44727E" w:rsidR="00792D4B" w:rsidRPr="000B2036" w:rsidRDefault="00792D4B" w:rsidP="00792D4B">
            <w:pPr>
              <w:pStyle w:val="TableParagraph"/>
              <w:rPr>
                <w:rFonts w:asciiTheme="minorHAnsi" w:hAnsiTheme="minorHAnsi" w:cstheme="minorHAnsi"/>
                <w:b/>
                <w:sz w:val="20"/>
                <w:szCs w:val="20"/>
              </w:rPr>
            </w:pPr>
          </w:p>
        </w:tc>
        <w:tc>
          <w:tcPr>
            <w:tcW w:w="1980" w:type="dxa"/>
          </w:tcPr>
          <w:p w14:paraId="2C6169F0" w14:textId="1967FEB1" w:rsidR="00792D4B" w:rsidRPr="00BC730F" w:rsidRDefault="00792D4B" w:rsidP="00792D4B">
            <w:pPr>
              <w:pStyle w:val="TableParagraph"/>
              <w:rPr>
                <w:rFonts w:asciiTheme="minorHAnsi" w:hAnsiTheme="minorHAnsi" w:cstheme="minorHAnsi"/>
                <w:bCs/>
                <w:i/>
                <w:iCs/>
                <w:sz w:val="20"/>
                <w:szCs w:val="20"/>
              </w:rPr>
            </w:pPr>
          </w:p>
        </w:tc>
        <w:tc>
          <w:tcPr>
            <w:tcW w:w="3690" w:type="dxa"/>
          </w:tcPr>
          <w:p w14:paraId="3029F5CE" w14:textId="04E1FD6D" w:rsidR="00792D4B" w:rsidRPr="000B2036" w:rsidRDefault="00792D4B" w:rsidP="00FA7835">
            <w:pPr>
              <w:pStyle w:val="TableParagraph"/>
              <w:rPr>
                <w:rFonts w:asciiTheme="minorHAnsi" w:hAnsiTheme="minorHAnsi" w:cstheme="minorHAnsi"/>
                <w:sz w:val="20"/>
                <w:szCs w:val="20"/>
              </w:rPr>
            </w:pPr>
          </w:p>
        </w:tc>
      </w:tr>
      <w:tr w:rsidR="00792D4B" w:rsidRPr="000B2036" w14:paraId="051BDF42" w14:textId="77777777" w:rsidTr="505C20AD">
        <w:trPr>
          <w:trHeight w:val="1799"/>
        </w:trPr>
        <w:tc>
          <w:tcPr>
            <w:tcW w:w="2520" w:type="dxa"/>
          </w:tcPr>
          <w:p w14:paraId="650BB499" w14:textId="53D8242A" w:rsidR="00792D4B" w:rsidRPr="000B2036" w:rsidRDefault="00792D4B" w:rsidP="00792D4B">
            <w:pPr>
              <w:pStyle w:val="TableParagraph"/>
              <w:rPr>
                <w:rFonts w:asciiTheme="minorHAnsi" w:hAnsiTheme="minorHAnsi" w:cstheme="minorHAnsi"/>
                <w:sz w:val="20"/>
                <w:szCs w:val="20"/>
              </w:rPr>
            </w:pPr>
            <w:r w:rsidRPr="000B2036">
              <w:rPr>
                <w:rFonts w:asciiTheme="minorHAnsi" w:hAnsiTheme="minorHAnsi" w:cstheme="minorHAnsi"/>
                <w:sz w:val="20"/>
                <w:szCs w:val="20"/>
              </w:rPr>
              <w:t>Wildfire and cumulative management activities will not exceed 25% of</w:t>
            </w:r>
            <w:r>
              <w:rPr>
                <w:rFonts w:asciiTheme="minorHAnsi" w:hAnsiTheme="minorHAnsi" w:cstheme="minorHAnsi"/>
                <w:sz w:val="20"/>
                <w:szCs w:val="20"/>
              </w:rPr>
              <w:t xml:space="preserve"> </w:t>
            </w:r>
            <w:r w:rsidRPr="000B2036">
              <w:rPr>
                <w:rFonts w:asciiTheme="minorHAnsi" w:hAnsiTheme="minorHAnsi" w:cstheme="minorHAnsi"/>
                <w:sz w:val="20"/>
                <w:szCs w:val="20"/>
              </w:rPr>
              <w:t>HUC12 watershed as determined</w:t>
            </w:r>
            <w:r>
              <w:rPr>
                <w:rFonts w:asciiTheme="minorHAnsi" w:hAnsiTheme="minorHAnsi" w:cstheme="minorHAnsi"/>
                <w:sz w:val="20"/>
                <w:szCs w:val="20"/>
              </w:rPr>
              <w:t xml:space="preserve"> </w:t>
            </w:r>
            <w:r w:rsidRPr="000B2036">
              <w:rPr>
                <w:rFonts w:asciiTheme="minorHAnsi" w:hAnsiTheme="minorHAnsi" w:cstheme="minorHAnsi"/>
                <w:sz w:val="20"/>
                <w:szCs w:val="20"/>
              </w:rPr>
              <w:t xml:space="preserve">by weighted acres </w:t>
            </w:r>
            <w:r>
              <w:rPr>
                <w:rFonts w:asciiTheme="minorHAnsi" w:hAnsiTheme="minorHAnsi" w:cstheme="minorHAnsi"/>
                <w:sz w:val="20"/>
                <w:szCs w:val="20"/>
              </w:rPr>
              <w:t xml:space="preserve">of </w:t>
            </w:r>
            <w:r w:rsidRPr="000B2036">
              <w:rPr>
                <w:rFonts w:asciiTheme="minorHAnsi" w:hAnsiTheme="minorHAnsi" w:cstheme="minorHAnsi"/>
                <w:sz w:val="20"/>
                <w:szCs w:val="20"/>
              </w:rPr>
              <w:t>mechanical harvest, roads</w:t>
            </w:r>
            <w:r>
              <w:rPr>
                <w:rFonts w:asciiTheme="minorHAnsi" w:hAnsiTheme="minorHAnsi" w:cstheme="minorHAnsi"/>
                <w:sz w:val="20"/>
                <w:szCs w:val="20"/>
              </w:rPr>
              <w:t>,</w:t>
            </w:r>
            <w:r w:rsidRPr="000B2036">
              <w:rPr>
                <w:rFonts w:asciiTheme="minorHAnsi" w:hAnsiTheme="minorHAnsi" w:cstheme="minorHAnsi"/>
                <w:sz w:val="20"/>
                <w:szCs w:val="20"/>
              </w:rPr>
              <w:t xml:space="preserve"> and severe fire.</w:t>
            </w:r>
            <w:r>
              <w:rPr>
                <w:rFonts w:asciiTheme="minorHAnsi" w:hAnsiTheme="minorHAnsi" w:cstheme="minorHAnsi"/>
                <w:sz w:val="20"/>
                <w:szCs w:val="20"/>
              </w:rPr>
              <w:t xml:space="preserve"> </w:t>
            </w:r>
            <w:r w:rsidRPr="001A69A6">
              <w:rPr>
                <w:rFonts w:asciiTheme="minorHAnsi" w:hAnsiTheme="minorHAnsi" w:cstheme="minorHAnsi"/>
                <w:sz w:val="16"/>
                <w:szCs w:val="16"/>
              </w:rPr>
              <w:t>(Decision Trigger, FEIS, Table 6, pp. 44-45)</w:t>
            </w:r>
          </w:p>
        </w:tc>
        <w:tc>
          <w:tcPr>
            <w:tcW w:w="1620" w:type="dxa"/>
          </w:tcPr>
          <w:p w14:paraId="0D1C4D71" w14:textId="48899FD9" w:rsidR="00792D4B" w:rsidRPr="000B2036" w:rsidRDefault="00792D4B" w:rsidP="00792D4B">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GMUG </w:t>
            </w:r>
            <w:r>
              <w:rPr>
                <w:rFonts w:asciiTheme="minorHAnsi" w:hAnsiTheme="minorHAnsi" w:cstheme="minorHAnsi"/>
                <w:sz w:val="20"/>
                <w:szCs w:val="20"/>
              </w:rPr>
              <w:t>staff</w:t>
            </w:r>
            <w:r w:rsidRPr="000B2036">
              <w:rPr>
                <w:rFonts w:asciiTheme="minorHAnsi" w:hAnsiTheme="minorHAnsi" w:cstheme="minorHAnsi"/>
                <w:sz w:val="20"/>
                <w:szCs w:val="20"/>
              </w:rPr>
              <w:t xml:space="preserve"> track acres of management in FACTS </w:t>
            </w:r>
            <w:r>
              <w:rPr>
                <w:rFonts w:asciiTheme="minorHAnsi" w:hAnsiTheme="minorHAnsi" w:cstheme="minorHAnsi"/>
                <w:sz w:val="20"/>
                <w:szCs w:val="20"/>
              </w:rPr>
              <w:t>and INFRA</w:t>
            </w:r>
          </w:p>
        </w:tc>
        <w:tc>
          <w:tcPr>
            <w:tcW w:w="6930" w:type="dxa"/>
          </w:tcPr>
          <w:p w14:paraId="05B2FF7A" w14:textId="5219C80F" w:rsidR="00792D4B" w:rsidRPr="00B2143F" w:rsidRDefault="505C20AD" w:rsidP="505C20AD">
            <w:pPr>
              <w:pStyle w:val="TableParagraph"/>
              <w:rPr>
                <w:rFonts w:asciiTheme="minorHAnsi" w:hAnsiTheme="minorHAnsi" w:cstheme="minorBidi"/>
                <w:sz w:val="20"/>
                <w:szCs w:val="20"/>
              </w:rPr>
            </w:pPr>
            <w:r w:rsidRPr="00176EC4">
              <w:rPr>
                <w:rFonts w:asciiTheme="minorHAnsi" w:hAnsiTheme="minorHAnsi" w:cstheme="minorBidi"/>
                <w:sz w:val="20"/>
                <w:szCs w:val="20"/>
                <w:highlight w:val="yellow"/>
              </w:rPr>
              <w:t>In 2022, a total of 1,977 acres of additional disturbance occurred in 11 watersheds across the GMUG.</w:t>
            </w:r>
            <w:r w:rsidRPr="505C20AD">
              <w:rPr>
                <w:rFonts w:asciiTheme="minorHAnsi" w:hAnsiTheme="minorHAnsi" w:cstheme="minorBidi"/>
                <w:sz w:val="20"/>
                <w:szCs w:val="20"/>
              </w:rPr>
              <w:t xml:space="preserve"> Watersheds with active timber management received the highest level of disturbance. No thresholds were exceeded.</w:t>
            </w:r>
          </w:p>
          <w:p w14:paraId="3EFFACBC" w14:textId="77777777" w:rsidR="00792D4B" w:rsidRPr="00B2143F" w:rsidRDefault="00792D4B" w:rsidP="00792D4B">
            <w:pPr>
              <w:pStyle w:val="TableParagraph"/>
              <w:rPr>
                <w:rFonts w:asciiTheme="minorHAnsi" w:hAnsiTheme="minorHAnsi" w:cstheme="minorHAnsi"/>
                <w:sz w:val="20"/>
                <w:szCs w:val="20"/>
              </w:rPr>
            </w:pPr>
          </w:p>
          <w:p w14:paraId="11D3A532" w14:textId="69B78E78" w:rsidR="00792D4B" w:rsidRPr="00A33D52" w:rsidRDefault="00792D4B" w:rsidP="00792D4B">
            <w:pPr>
              <w:pStyle w:val="TableParagraph"/>
              <w:rPr>
                <w:rFonts w:asciiTheme="minorHAnsi" w:hAnsiTheme="minorHAnsi" w:cstheme="minorHAnsi"/>
                <w:i/>
                <w:iCs/>
                <w:sz w:val="20"/>
                <w:szCs w:val="20"/>
              </w:rPr>
            </w:pPr>
            <w:r w:rsidRPr="00B2143F">
              <w:rPr>
                <w:rFonts w:asciiTheme="minorHAnsi" w:hAnsiTheme="minorHAnsi" w:cstheme="minorHAnsi"/>
                <w:sz w:val="20"/>
                <w:szCs w:val="20"/>
              </w:rPr>
              <w:t xml:space="preserve">Since 2020, two watersheds were identified with a red and yellow flag: Little Blue Creek; </w:t>
            </w:r>
            <w:r w:rsidR="00EC6917">
              <w:rPr>
                <w:rFonts w:asciiTheme="minorHAnsi" w:hAnsiTheme="minorHAnsi" w:cstheme="minorHAnsi"/>
                <w:sz w:val="20"/>
                <w:szCs w:val="20"/>
              </w:rPr>
              <w:t>(</w:t>
            </w:r>
            <w:r w:rsidRPr="00B2143F">
              <w:rPr>
                <w:rFonts w:asciiTheme="minorHAnsi" w:hAnsiTheme="minorHAnsi" w:cstheme="minorHAnsi"/>
                <w:sz w:val="20"/>
                <w:szCs w:val="20"/>
              </w:rPr>
              <w:t>27%) on the Alpine Plateau exceeds the 25% threshold. However, the Forest Service only administers 2,479 acres of the 22,327-acre watershed (11%) with the remainder being managed by Bureau of Land Management (BLM) or as private land. Willow Creek (23%) exceeded the 20% yellow trigger in the EIS but again, the Forest Service only administers 13 percent of the 14,784-acre watershed with the remainder largely in BLM ownership. No additional treatments have occurred in either watershed after 2020.</w:t>
            </w:r>
            <w:r w:rsidRPr="00B2143F">
              <w:rPr>
                <w:rFonts w:asciiTheme="minorHAnsi" w:hAnsiTheme="minorHAnsi" w:cstheme="minorHAnsi"/>
                <w:i/>
                <w:iCs/>
                <w:sz w:val="20"/>
                <w:szCs w:val="20"/>
              </w:rPr>
              <w:t xml:space="preserve">     </w:t>
            </w:r>
          </w:p>
        </w:tc>
        <w:tc>
          <w:tcPr>
            <w:tcW w:w="2070" w:type="dxa"/>
          </w:tcPr>
          <w:p w14:paraId="0245A73F" w14:textId="77777777" w:rsidR="00F64F10" w:rsidRPr="00F64F10" w:rsidRDefault="00F64F10" w:rsidP="00F64F10">
            <w:pPr>
              <w:pStyle w:val="TableParagraph"/>
              <w:rPr>
                <w:rFonts w:asciiTheme="minorHAnsi" w:hAnsiTheme="minorHAnsi" w:cstheme="minorHAnsi"/>
                <w:i/>
                <w:iCs/>
                <w:sz w:val="20"/>
                <w:szCs w:val="20"/>
              </w:rPr>
            </w:pPr>
            <w:r>
              <w:rPr>
                <w:rFonts w:asciiTheme="minorHAnsi" w:hAnsiTheme="minorHAnsi" w:cstheme="minorHAnsi"/>
                <w:i/>
                <w:iCs/>
                <w:sz w:val="20"/>
                <w:szCs w:val="20"/>
              </w:rPr>
              <w:t>No changes to SBEADMR needed at this time.</w:t>
            </w:r>
          </w:p>
          <w:p w14:paraId="58AED0F6" w14:textId="77777777" w:rsidR="00792D4B" w:rsidRDefault="00792D4B" w:rsidP="00792D4B">
            <w:pPr>
              <w:pStyle w:val="TableParagraph"/>
              <w:rPr>
                <w:rFonts w:asciiTheme="minorHAnsi" w:hAnsiTheme="minorHAnsi" w:cstheme="minorHAnsi"/>
                <w:bCs/>
                <w:sz w:val="20"/>
                <w:szCs w:val="20"/>
                <w:highlight w:val="yellow"/>
              </w:rPr>
            </w:pPr>
          </w:p>
          <w:p w14:paraId="7F752B07" w14:textId="5607FB8D" w:rsidR="00792D4B" w:rsidRPr="000B2036" w:rsidRDefault="00792D4B" w:rsidP="00792D4B">
            <w:pPr>
              <w:pStyle w:val="TableParagraph"/>
              <w:rPr>
                <w:rFonts w:asciiTheme="minorHAnsi" w:hAnsiTheme="minorHAnsi" w:cstheme="minorHAnsi"/>
                <w:b/>
                <w:bCs/>
                <w:sz w:val="20"/>
                <w:szCs w:val="20"/>
              </w:rPr>
            </w:pPr>
          </w:p>
        </w:tc>
        <w:tc>
          <w:tcPr>
            <w:tcW w:w="1980" w:type="dxa"/>
          </w:tcPr>
          <w:p w14:paraId="4D00B0C4" w14:textId="45A29881" w:rsidR="00792D4B" w:rsidRPr="00BC730F" w:rsidRDefault="00792D4B" w:rsidP="00792D4B">
            <w:pPr>
              <w:pStyle w:val="TableParagraph"/>
              <w:rPr>
                <w:rFonts w:asciiTheme="minorHAnsi" w:hAnsiTheme="minorHAnsi" w:cstheme="minorHAnsi"/>
                <w:bCs/>
                <w:i/>
                <w:iCs/>
                <w:sz w:val="20"/>
                <w:szCs w:val="20"/>
              </w:rPr>
            </w:pPr>
          </w:p>
        </w:tc>
        <w:tc>
          <w:tcPr>
            <w:tcW w:w="3690" w:type="dxa"/>
          </w:tcPr>
          <w:p w14:paraId="2E8A278C" w14:textId="32F7105F" w:rsidR="00792D4B" w:rsidRPr="000B2036" w:rsidRDefault="00792D4B" w:rsidP="00792D4B">
            <w:pPr>
              <w:pStyle w:val="TableParagraph"/>
              <w:rPr>
                <w:rFonts w:asciiTheme="minorHAnsi" w:hAnsiTheme="minorHAnsi" w:cstheme="minorHAnsi"/>
                <w:sz w:val="20"/>
                <w:szCs w:val="20"/>
              </w:rPr>
            </w:pPr>
            <w:r>
              <w:rPr>
                <w:rFonts w:asciiTheme="minorHAnsi" w:hAnsiTheme="minorHAnsi" w:cstheme="minorHAnsi"/>
                <w:sz w:val="20"/>
                <w:szCs w:val="20"/>
              </w:rPr>
              <w:t xml:space="preserve">Watershed impacts are tracked annually through the Forest Service Activities Database – FACTS.  All activities, not just those associated with SBEADMR are tracked, including natural disturbances such as wildfire.  The Equivalent </w:t>
            </w:r>
            <w:proofErr w:type="spellStart"/>
            <w:r>
              <w:rPr>
                <w:rFonts w:asciiTheme="minorHAnsi" w:hAnsiTheme="minorHAnsi" w:cstheme="minorHAnsi"/>
                <w:sz w:val="20"/>
                <w:szCs w:val="20"/>
              </w:rPr>
              <w:t>Roaded</w:t>
            </w:r>
            <w:proofErr w:type="spellEnd"/>
            <w:r>
              <w:rPr>
                <w:rFonts w:asciiTheme="minorHAnsi" w:hAnsiTheme="minorHAnsi" w:cstheme="minorHAnsi"/>
                <w:sz w:val="20"/>
                <w:szCs w:val="20"/>
              </w:rPr>
              <w:t xml:space="preserve"> Acre methodology was used – 1 acre of road impact is one acre of watershed impact; 4 acres of vegetation treatment or wildfire equals 1-acre of watershed impact (25 percent).</w:t>
            </w:r>
          </w:p>
        </w:tc>
      </w:tr>
      <w:tr w:rsidR="00792D4B" w:rsidRPr="000B2036" w14:paraId="6DF7B254" w14:textId="77777777" w:rsidTr="505C20AD">
        <w:trPr>
          <w:trHeight w:val="4358"/>
        </w:trPr>
        <w:tc>
          <w:tcPr>
            <w:tcW w:w="2520" w:type="dxa"/>
          </w:tcPr>
          <w:p w14:paraId="17F8AE3D" w14:textId="55A20A2A" w:rsidR="00792D4B" w:rsidRPr="000B2036" w:rsidRDefault="00792D4B" w:rsidP="00792D4B">
            <w:pPr>
              <w:pStyle w:val="TableParagraph"/>
              <w:rPr>
                <w:rFonts w:asciiTheme="minorHAnsi" w:hAnsiTheme="minorHAnsi" w:cstheme="minorHAnsi"/>
                <w:sz w:val="20"/>
                <w:szCs w:val="20"/>
              </w:rPr>
            </w:pPr>
            <w:r>
              <w:rPr>
                <w:rFonts w:asciiTheme="minorHAnsi" w:hAnsiTheme="minorHAnsi" w:cstheme="minorHAnsi"/>
                <w:sz w:val="20"/>
                <w:szCs w:val="20"/>
              </w:rPr>
              <w:lastRenderedPageBreak/>
              <w:t xml:space="preserve">Document that treatments are being implemented as planned; identify relevant improvements to procedures or exemplary practices to benefit future treatments </w:t>
            </w:r>
            <w:r w:rsidRPr="001A69A6">
              <w:rPr>
                <w:rFonts w:asciiTheme="minorHAnsi" w:hAnsiTheme="minorHAnsi" w:cstheme="minorHAnsi"/>
                <w:sz w:val="16"/>
                <w:szCs w:val="16"/>
              </w:rPr>
              <w:t>(Annual IDT Treatment Review, Appendix D. FEIS)</w:t>
            </w:r>
          </w:p>
        </w:tc>
        <w:tc>
          <w:tcPr>
            <w:tcW w:w="1620" w:type="dxa"/>
          </w:tcPr>
          <w:p w14:paraId="61BA9A31" w14:textId="72058EC6" w:rsidR="00792D4B" w:rsidRDefault="00792D4B" w:rsidP="00792D4B">
            <w:pPr>
              <w:pStyle w:val="TableParagraph"/>
              <w:rPr>
                <w:rFonts w:asciiTheme="minorHAnsi" w:hAnsiTheme="minorHAnsi" w:cstheme="minorHAnsi"/>
                <w:sz w:val="20"/>
                <w:szCs w:val="20"/>
              </w:rPr>
            </w:pPr>
            <w:r>
              <w:rPr>
                <w:rFonts w:asciiTheme="minorHAnsi" w:hAnsiTheme="minorHAnsi" w:cstheme="minorHAnsi"/>
                <w:sz w:val="20"/>
                <w:szCs w:val="20"/>
              </w:rPr>
              <w:t>Bia</w:t>
            </w:r>
            <w:r w:rsidRPr="000B2036">
              <w:rPr>
                <w:rFonts w:asciiTheme="minorHAnsi" w:hAnsiTheme="minorHAnsi" w:cstheme="minorHAnsi"/>
                <w:sz w:val="20"/>
                <w:szCs w:val="20"/>
              </w:rPr>
              <w:t xml:space="preserve">nnual treatment review field trip with </w:t>
            </w:r>
            <w:r>
              <w:rPr>
                <w:rFonts w:asciiTheme="minorHAnsi" w:hAnsiTheme="minorHAnsi" w:cstheme="minorHAnsi"/>
                <w:sz w:val="20"/>
                <w:szCs w:val="20"/>
              </w:rPr>
              <w:t>GMUG staff</w:t>
            </w:r>
            <w:r w:rsidRPr="000B2036">
              <w:rPr>
                <w:rFonts w:asciiTheme="minorHAnsi" w:hAnsiTheme="minorHAnsi" w:cstheme="minorHAnsi"/>
                <w:sz w:val="20"/>
                <w:szCs w:val="20"/>
              </w:rPr>
              <w:t>, subject matter specialists, and stakeholders</w:t>
            </w:r>
            <w:r>
              <w:rPr>
                <w:rFonts w:asciiTheme="minorHAnsi" w:hAnsiTheme="minorHAnsi" w:cstheme="minorHAnsi"/>
                <w:sz w:val="20"/>
                <w:szCs w:val="20"/>
              </w:rPr>
              <w:t>.</w:t>
            </w:r>
          </w:p>
          <w:p w14:paraId="5677766E" w14:textId="77777777" w:rsidR="00792D4B" w:rsidRDefault="00792D4B" w:rsidP="00792D4B">
            <w:pPr>
              <w:pStyle w:val="TableParagraph"/>
              <w:rPr>
                <w:rFonts w:asciiTheme="minorHAnsi" w:hAnsiTheme="minorHAnsi" w:cstheme="minorHAnsi"/>
                <w:sz w:val="20"/>
                <w:szCs w:val="20"/>
              </w:rPr>
            </w:pPr>
          </w:p>
          <w:p w14:paraId="3A411AD3" w14:textId="1D13C311" w:rsidR="00792D4B" w:rsidRPr="000B2036" w:rsidRDefault="00792D4B" w:rsidP="00792D4B">
            <w:pPr>
              <w:pStyle w:val="TableParagraph"/>
              <w:rPr>
                <w:rFonts w:asciiTheme="minorHAnsi" w:hAnsiTheme="minorHAnsi" w:cstheme="minorHAnsi"/>
                <w:sz w:val="20"/>
                <w:szCs w:val="20"/>
              </w:rPr>
            </w:pPr>
            <w:r>
              <w:rPr>
                <w:rFonts w:asciiTheme="minorHAnsi" w:hAnsiTheme="minorHAnsi" w:cstheme="minorHAnsi"/>
                <w:sz w:val="20"/>
                <w:szCs w:val="20"/>
              </w:rPr>
              <w:t>Annual review of administrative processes and procedures (including SBEADMR checklist) by GMUG staff.</w:t>
            </w:r>
          </w:p>
        </w:tc>
        <w:tc>
          <w:tcPr>
            <w:tcW w:w="6930" w:type="dxa"/>
          </w:tcPr>
          <w:p w14:paraId="7CA15295" w14:textId="11754B31" w:rsidR="00792D4B" w:rsidRDefault="00792D4B" w:rsidP="00792D4B">
            <w:pPr>
              <w:pStyle w:val="TableParagraph"/>
              <w:rPr>
                <w:rFonts w:asciiTheme="minorHAnsi" w:hAnsiTheme="minorHAnsi" w:cstheme="minorHAnsi"/>
                <w:sz w:val="20"/>
                <w:szCs w:val="20"/>
              </w:rPr>
            </w:pPr>
            <w:r>
              <w:rPr>
                <w:rFonts w:asciiTheme="minorHAnsi" w:hAnsiTheme="minorHAnsi" w:cstheme="minorHAnsi"/>
                <w:sz w:val="20"/>
                <w:szCs w:val="20"/>
              </w:rPr>
              <w:t xml:space="preserve">GMUG staff and SBEADMR AMG members </w:t>
            </w:r>
            <w:r w:rsidR="00D73C42">
              <w:rPr>
                <w:rFonts w:asciiTheme="minorHAnsi" w:hAnsiTheme="minorHAnsi" w:cstheme="minorHAnsi"/>
                <w:sz w:val="20"/>
                <w:szCs w:val="20"/>
              </w:rPr>
              <w:t>will complete</w:t>
            </w:r>
            <w:r>
              <w:rPr>
                <w:rFonts w:asciiTheme="minorHAnsi" w:hAnsiTheme="minorHAnsi" w:cstheme="minorHAnsi"/>
                <w:sz w:val="20"/>
                <w:szCs w:val="20"/>
              </w:rPr>
              <w:t xml:space="preserve"> a BMP treatment review for </w:t>
            </w:r>
            <w:r w:rsidR="005E6098">
              <w:rPr>
                <w:rFonts w:asciiTheme="minorHAnsi" w:hAnsiTheme="minorHAnsi" w:cstheme="minorHAnsi"/>
                <w:sz w:val="20"/>
                <w:szCs w:val="20"/>
              </w:rPr>
              <w:t>a sale on the Gunnison RD in summer of 2023. Results from that review will be included in next year’s AMG Adaptive Implementation Report.</w:t>
            </w:r>
          </w:p>
          <w:p w14:paraId="599A1D9B" w14:textId="77777777" w:rsidR="00792D4B" w:rsidRDefault="00792D4B" w:rsidP="00792D4B">
            <w:pPr>
              <w:pStyle w:val="TableParagraph"/>
              <w:rPr>
                <w:rFonts w:asciiTheme="minorHAnsi" w:hAnsiTheme="minorHAnsi" w:cstheme="minorHAnsi"/>
                <w:sz w:val="20"/>
                <w:szCs w:val="20"/>
              </w:rPr>
            </w:pPr>
          </w:p>
          <w:p w14:paraId="6EAEE11F" w14:textId="5F014706" w:rsidR="00792D4B" w:rsidRPr="00C42160" w:rsidRDefault="006476DC" w:rsidP="00792D4B">
            <w:pPr>
              <w:pStyle w:val="TableParagraph"/>
              <w:rPr>
                <w:rFonts w:asciiTheme="minorHAnsi" w:hAnsiTheme="minorHAnsi" w:cstheme="minorHAnsi"/>
                <w:sz w:val="20"/>
              </w:rPr>
            </w:pPr>
            <w:r w:rsidRPr="001B0010">
              <w:rPr>
                <w:rFonts w:asciiTheme="minorHAnsi" w:hAnsiTheme="minorHAnsi" w:cstheme="minorHAnsi"/>
                <w:sz w:val="20"/>
              </w:rPr>
              <w:t xml:space="preserve">The SBEADMR treatment checklist was updated in 2022 to add a section for project description on the first page, per </w:t>
            </w:r>
            <w:r w:rsidR="008563DD" w:rsidRPr="001B0010">
              <w:rPr>
                <w:rFonts w:asciiTheme="minorHAnsi" w:hAnsiTheme="minorHAnsi" w:cstheme="minorHAnsi"/>
                <w:sz w:val="20"/>
              </w:rPr>
              <w:t>GMUG staff</w:t>
            </w:r>
            <w:r w:rsidRPr="001B0010">
              <w:rPr>
                <w:rFonts w:asciiTheme="minorHAnsi" w:hAnsiTheme="minorHAnsi" w:cstheme="minorHAnsi"/>
                <w:sz w:val="20"/>
              </w:rPr>
              <w:t xml:space="preserve"> request. This is intended to streamline specialist review by providing a centralized location for all information on a SBEADMR project.</w:t>
            </w:r>
          </w:p>
        </w:tc>
        <w:tc>
          <w:tcPr>
            <w:tcW w:w="2070" w:type="dxa"/>
          </w:tcPr>
          <w:p w14:paraId="452DD3C9" w14:textId="77777777" w:rsidR="00F64F10" w:rsidRPr="00F64F10" w:rsidRDefault="00F64F10" w:rsidP="00F64F10">
            <w:pPr>
              <w:pStyle w:val="TableParagraph"/>
              <w:rPr>
                <w:rFonts w:asciiTheme="minorHAnsi" w:hAnsiTheme="minorHAnsi" w:cstheme="minorHAnsi"/>
                <w:i/>
                <w:iCs/>
                <w:sz w:val="20"/>
                <w:szCs w:val="20"/>
              </w:rPr>
            </w:pPr>
            <w:r>
              <w:rPr>
                <w:rFonts w:asciiTheme="minorHAnsi" w:hAnsiTheme="minorHAnsi" w:cstheme="minorHAnsi"/>
                <w:i/>
                <w:iCs/>
                <w:sz w:val="20"/>
                <w:szCs w:val="20"/>
              </w:rPr>
              <w:t>No changes to SBEADMR needed at this time.</w:t>
            </w:r>
          </w:p>
          <w:p w14:paraId="684F0D3B" w14:textId="77777777" w:rsidR="00792D4B" w:rsidRPr="00C51AD7" w:rsidRDefault="00792D4B" w:rsidP="00792D4B">
            <w:pPr>
              <w:pStyle w:val="TableParagraph"/>
              <w:rPr>
                <w:rFonts w:asciiTheme="minorHAnsi" w:hAnsiTheme="minorHAnsi" w:cstheme="minorHAnsi"/>
                <w:sz w:val="20"/>
                <w:szCs w:val="20"/>
              </w:rPr>
            </w:pPr>
          </w:p>
          <w:p w14:paraId="45FF659C" w14:textId="275C84F3" w:rsidR="00792D4B" w:rsidRPr="000B2036" w:rsidRDefault="00792D4B" w:rsidP="00792D4B">
            <w:pPr>
              <w:rPr>
                <w:rFonts w:asciiTheme="minorHAnsi" w:hAnsiTheme="minorHAnsi" w:cstheme="minorHAnsi"/>
                <w:b/>
                <w:bCs/>
                <w:sz w:val="20"/>
                <w:szCs w:val="20"/>
              </w:rPr>
            </w:pPr>
          </w:p>
        </w:tc>
        <w:tc>
          <w:tcPr>
            <w:tcW w:w="1980" w:type="dxa"/>
          </w:tcPr>
          <w:p w14:paraId="71E9FB8B" w14:textId="5F320494" w:rsidR="00792D4B" w:rsidRPr="00BC730F" w:rsidRDefault="00792D4B" w:rsidP="00792D4B">
            <w:pPr>
              <w:pStyle w:val="TableParagraph"/>
              <w:rPr>
                <w:rFonts w:asciiTheme="minorHAnsi" w:hAnsiTheme="minorHAnsi" w:cstheme="minorHAnsi"/>
                <w:bCs/>
                <w:i/>
                <w:iCs/>
                <w:sz w:val="20"/>
                <w:szCs w:val="20"/>
              </w:rPr>
            </w:pPr>
          </w:p>
        </w:tc>
        <w:tc>
          <w:tcPr>
            <w:tcW w:w="3690" w:type="dxa"/>
          </w:tcPr>
          <w:p w14:paraId="20BAA7AA" w14:textId="77777777" w:rsidR="00792D4B" w:rsidRPr="00E97D1D" w:rsidRDefault="00792D4B" w:rsidP="00792D4B">
            <w:pPr>
              <w:pStyle w:val="TableParagraph"/>
              <w:rPr>
                <w:rFonts w:asciiTheme="minorHAnsi" w:hAnsiTheme="minorHAnsi" w:cstheme="minorHAnsi"/>
                <w:sz w:val="20"/>
                <w:szCs w:val="20"/>
              </w:rPr>
            </w:pPr>
          </w:p>
          <w:p w14:paraId="3C51DDC5" w14:textId="77777777" w:rsidR="00792D4B" w:rsidRDefault="00792D4B" w:rsidP="00792D4B">
            <w:pPr>
              <w:pStyle w:val="TableParagraph"/>
              <w:rPr>
                <w:rFonts w:asciiTheme="minorHAnsi" w:hAnsiTheme="minorHAnsi" w:cstheme="minorHAnsi"/>
                <w:sz w:val="20"/>
                <w:szCs w:val="20"/>
              </w:rPr>
            </w:pPr>
          </w:p>
          <w:p w14:paraId="3863F696" w14:textId="77777777" w:rsidR="00792D4B" w:rsidRPr="000B2036" w:rsidRDefault="00792D4B" w:rsidP="00792D4B">
            <w:pPr>
              <w:pStyle w:val="TableParagraph"/>
              <w:rPr>
                <w:rFonts w:asciiTheme="minorHAnsi" w:hAnsiTheme="minorHAnsi" w:cstheme="minorHAnsi"/>
                <w:sz w:val="20"/>
                <w:szCs w:val="20"/>
              </w:rPr>
            </w:pPr>
          </w:p>
        </w:tc>
      </w:tr>
      <w:tr w:rsidR="00792D4B" w:rsidRPr="000B2036" w14:paraId="7C94886A" w14:textId="77777777" w:rsidTr="505C20AD">
        <w:trPr>
          <w:trHeight w:val="2690"/>
        </w:trPr>
        <w:tc>
          <w:tcPr>
            <w:tcW w:w="2520" w:type="dxa"/>
          </w:tcPr>
          <w:p w14:paraId="3A26DAE6" w14:textId="77777777" w:rsidR="00792D4B" w:rsidRPr="00F05149" w:rsidRDefault="00792D4B" w:rsidP="00792D4B">
            <w:pPr>
              <w:pStyle w:val="TableParagraph"/>
              <w:rPr>
                <w:rFonts w:asciiTheme="minorHAnsi" w:hAnsiTheme="minorHAnsi" w:cstheme="minorHAnsi"/>
                <w:sz w:val="20"/>
                <w:szCs w:val="20"/>
              </w:rPr>
            </w:pPr>
            <w:r>
              <w:rPr>
                <w:rFonts w:asciiTheme="minorHAnsi" w:hAnsiTheme="minorHAnsi" w:cstheme="minorHAnsi"/>
                <w:sz w:val="20"/>
                <w:szCs w:val="20"/>
              </w:rPr>
              <w:t>C</w:t>
            </w:r>
            <w:r w:rsidRPr="00F05149">
              <w:rPr>
                <w:rFonts w:asciiTheme="minorHAnsi" w:hAnsiTheme="minorHAnsi" w:cstheme="minorHAnsi"/>
                <w:sz w:val="20"/>
                <w:szCs w:val="20"/>
              </w:rPr>
              <w:t>ontinue the public participation and collaborative learning that occurred during the</w:t>
            </w:r>
          </w:p>
          <w:p w14:paraId="7FA86DA9" w14:textId="77777777" w:rsidR="00792D4B" w:rsidRPr="00F05149" w:rsidRDefault="00792D4B" w:rsidP="00792D4B">
            <w:pPr>
              <w:pStyle w:val="TableParagraph"/>
              <w:rPr>
                <w:rFonts w:asciiTheme="minorHAnsi" w:hAnsiTheme="minorHAnsi" w:cstheme="minorHAnsi"/>
                <w:sz w:val="20"/>
                <w:szCs w:val="20"/>
              </w:rPr>
            </w:pPr>
            <w:r w:rsidRPr="00F05149">
              <w:rPr>
                <w:rFonts w:asciiTheme="minorHAnsi" w:hAnsiTheme="minorHAnsi" w:cstheme="minorHAnsi"/>
                <w:sz w:val="20"/>
                <w:szCs w:val="20"/>
              </w:rPr>
              <w:t xml:space="preserve">planning phase, encourage and support the continuation of collaborative </w:t>
            </w:r>
            <w:proofErr w:type="gramStart"/>
            <w:r w:rsidRPr="00F05149">
              <w:rPr>
                <w:rFonts w:asciiTheme="minorHAnsi" w:hAnsiTheme="minorHAnsi" w:cstheme="minorHAnsi"/>
                <w:sz w:val="20"/>
                <w:szCs w:val="20"/>
              </w:rPr>
              <w:t>workgroup</w:t>
            </w:r>
            <w:proofErr w:type="gramEnd"/>
          </w:p>
          <w:p w14:paraId="713E512B" w14:textId="7B83F0DD" w:rsidR="00792D4B" w:rsidRDefault="00792D4B" w:rsidP="00792D4B">
            <w:pPr>
              <w:pStyle w:val="TableParagraph"/>
              <w:rPr>
                <w:rFonts w:asciiTheme="minorHAnsi" w:hAnsiTheme="minorHAnsi" w:cstheme="minorHAnsi"/>
                <w:sz w:val="20"/>
                <w:szCs w:val="20"/>
              </w:rPr>
            </w:pPr>
            <w:r w:rsidRPr="00F05149">
              <w:rPr>
                <w:rFonts w:asciiTheme="minorHAnsi" w:hAnsiTheme="minorHAnsi" w:cstheme="minorHAnsi"/>
                <w:sz w:val="20"/>
                <w:szCs w:val="20"/>
              </w:rPr>
              <w:t>efforts throughout implementation</w:t>
            </w:r>
            <w:r>
              <w:rPr>
                <w:rFonts w:asciiTheme="minorHAnsi" w:hAnsiTheme="minorHAnsi" w:cstheme="minorHAnsi"/>
                <w:sz w:val="20"/>
                <w:szCs w:val="20"/>
              </w:rPr>
              <w:t xml:space="preserve"> </w:t>
            </w:r>
            <w:r w:rsidRPr="001A69A6">
              <w:rPr>
                <w:rFonts w:asciiTheme="minorHAnsi" w:hAnsiTheme="minorHAnsi" w:cstheme="minorHAnsi"/>
                <w:sz w:val="16"/>
                <w:szCs w:val="16"/>
              </w:rPr>
              <w:t>(FEIS Appendix E, Public Engagement in Adaptive Implementation, Goal p. 2)</w:t>
            </w:r>
          </w:p>
        </w:tc>
        <w:tc>
          <w:tcPr>
            <w:tcW w:w="1620" w:type="dxa"/>
          </w:tcPr>
          <w:p w14:paraId="7EBCE005" w14:textId="69A1DF2D" w:rsidR="00792D4B" w:rsidRPr="000B2036" w:rsidRDefault="00792D4B" w:rsidP="00792D4B">
            <w:pPr>
              <w:pStyle w:val="TableParagraph"/>
              <w:rPr>
                <w:rFonts w:asciiTheme="minorHAnsi" w:hAnsiTheme="minorHAnsi" w:cstheme="minorHAnsi"/>
                <w:sz w:val="20"/>
                <w:szCs w:val="20"/>
              </w:rPr>
            </w:pPr>
            <w:r>
              <w:rPr>
                <w:rFonts w:asciiTheme="minorHAnsi" w:hAnsiTheme="minorHAnsi" w:cstheme="minorHAnsi"/>
                <w:sz w:val="20"/>
                <w:szCs w:val="20"/>
              </w:rPr>
              <w:t>Science team questionnaire and AMG participation tracking (6a-b)</w:t>
            </w:r>
          </w:p>
        </w:tc>
        <w:tc>
          <w:tcPr>
            <w:tcW w:w="6930" w:type="dxa"/>
          </w:tcPr>
          <w:p w14:paraId="70F00B80" w14:textId="6E7CB1EA" w:rsidR="00792D4B" w:rsidRPr="00871D94" w:rsidRDefault="00714058" w:rsidP="00792D4B">
            <w:pPr>
              <w:pStyle w:val="TableParagraph"/>
              <w:rPr>
                <w:rFonts w:asciiTheme="minorHAnsi" w:hAnsiTheme="minorHAnsi" w:cstheme="minorHAnsi"/>
                <w:sz w:val="20"/>
                <w:szCs w:val="20"/>
              </w:rPr>
            </w:pPr>
            <w:r w:rsidRPr="00871D94">
              <w:rPr>
                <w:rFonts w:asciiTheme="minorHAnsi" w:hAnsiTheme="minorHAnsi" w:cstheme="minorHAnsi"/>
                <w:sz w:val="20"/>
                <w:szCs w:val="20"/>
              </w:rPr>
              <w:t xml:space="preserve">The SBEADMR process is generally meeting its goals of diverse participation, collaborative learning, developing shared understanding and agreement, transparency, responsiveness, trust- and relationship-building, and a participatory collaborative process. </w:t>
            </w:r>
          </w:p>
          <w:p w14:paraId="54F0F366" w14:textId="77777777" w:rsidR="00E71C2C" w:rsidRPr="00871D94" w:rsidRDefault="00E71C2C" w:rsidP="00792D4B">
            <w:pPr>
              <w:pStyle w:val="TableParagraph"/>
              <w:rPr>
                <w:rFonts w:asciiTheme="minorHAnsi" w:hAnsiTheme="minorHAnsi" w:cstheme="minorHAnsi"/>
                <w:sz w:val="20"/>
                <w:szCs w:val="20"/>
              </w:rPr>
            </w:pPr>
          </w:p>
          <w:p w14:paraId="6C98C574" w14:textId="77777777" w:rsidR="001018CB" w:rsidRDefault="0010741F" w:rsidP="0010741F">
            <w:pPr>
              <w:pStyle w:val="TableParagraph"/>
              <w:rPr>
                <w:color w:val="000000" w:themeColor="text1"/>
              </w:rPr>
            </w:pPr>
            <w:r w:rsidRPr="45EFCAF0">
              <w:rPr>
                <w:color w:val="000000" w:themeColor="text1"/>
                <w:highlight w:val="yellow"/>
              </w:rPr>
              <w:t xml:space="preserve">The AMG reviewed, refined, and prioritized several recommendations to improve the collaborative process at the October 2022 AMG meeting. We suggest the AMG periodically review and revise these recommendations as they address </w:t>
            </w:r>
            <w:proofErr w:type="gramStart"/>
            <w:r w:rsidRPr="45EFCAF0">
              <w:rPr>
                <w:color w:val="000000" w:themeColor="text1"/>
                <w:highlight w:val="yellow"/>
              </w:rPr>
              <w:t>them</w:t>
            </w:r>
            <w:proofErr w:type="gramEnd"/>
            <w:r w:rsidRPr="45EFCAF0">
              <w:rPr>
                <w:color w:val="000000" w:themeColor="text1"/>
                <w:highlight w:val="yellow"/>
              </w:rPr>
              <w:t xml:space="preserve"> or as new recommendations arise. It will be important to develop methods and metrics (and roles, expectations) to track progress towards addressing the recommendations</w:t>
            </w:r>
            <w:r>
              <w:rPr>
                <w:color w:val="000000" w:themeColor="text1"/>
              </w:rPr>
              <w:t>.</w:t>
            </w:r>
          </w:p>
          <w:p w14:paraId="00A8C1FF" w14:textId="77777777" w:rsidR="0010741F" w:rsidRDefault="0010741F" w:rsidP="0010741F">
            <w:pPr>
              <w:pStyle w:val="TableParagraph"/>
              <w:rPr>
                <w:color w:val="000000" w:themeColor="text1"/>
              </w:rPr>
            </w:pPr>
          </w:p>
          <w:p w14:paraId="2EEB1455" w14:textId="22682412" w:rsidR="0010741F" w:rsidRPr="00085409" w:rsidRDefault="0010741F" w:rsidP="0010741F">
            <w:pPr>
              <w:pStyle w:val="TableParagraph"/>
              <w:rPr>
                <w:rFonts w:asciiTheme="minorHAnsi" w:hAnsiTheme="minorHAnsi" w:cstheme="minorHAnsi"/>
                <w:sz w:val="20"/>
                <w:szCs w:val="20"/>
              </w:rPr>
            </w:pPr>
            <w:r w:rsidRPr="00F4548D">
              <w:rPr>
                <w:color w:val="000000" w:themeColor="text1"/>
                <w:highlight w:val="yellow"/>
              </w:rPr>
              <w:t xml:space="preserve">See Appendix </w:t>
            </w:r>
            <w:r w:rsidR="00F4548D" w:rsidRPr="00F4548D">
              <w:rPr>
                <w:color w:val="000000" w:themeColor="text1"/>
                <w:highlight w:val="yellow"/>
              </w:rPr>
              <w:t>C</w:t>
            </w:r>
            <w:r w:rsidRPr="00F4548D">
              <w:rPr>
                <w:color w:val="000000" w:themeColor="text1"/>
                <w:highlight w:val="yellow"/>
              </w:rPr>
              <w:t xml:space="preserve"> for the current priority recommendations</w:t>
            </w:r>
            <w:r w:rsidR="00824ADC" w:rsidRPr="00F4548D">
              <w:rPr>
                <w:color w:val="000000" w:themeColor="text1"/>
                <w:highlight w:val="yellow"/>
              </w:rPr>
              <w:t>.</w:t>
            </w:r>
          </w:p>
        </w:tc>
        <w:tc>
          <w:tcPr>
            <w:tcW w:w="2070" w:type="dxa"/>
          </w:tcPr>
          <w:p w14:paraId="0B77C5BE" w14:textId="05C2E4AE" w:rsidR="00792D4B" w:rsidRPr="00F64F10" w:rsidRDefault="00F64F10" w:rsidP="00792D4B">
            <w:pPr>
              <w:pStyle w:val="TableParagraph"/>
              <w:rPr>
                <w:rFonts w:asciiTheme="minorHAnsi" w:hAnsiTheme="minorHAnsi" w:cstheme="minorHAnsi"/>
                <w:b/>
                <w:bCs/>
                <w:sz w:val="20"/>
              </w:rPr>
            </w:pPr>
            <w:r w:rsidRPr="00F64F10">
              <w:rPr>
                <w:rFonts w:asciiTheme="minorHAnsi" w:hAnsiTheme="minorHAnsi" w:cstheme="minorHAnsi"/>
                <w:b/>
                <w:bCs/>
                <w:sz w:val="20"/>
                <w:highlight w:val="yellow"/>
              </w:rPr>
              <w:t>TBD</w:t>
            </w:r>
          </w:p>
        </w:tc>
        <w:tc>
          <w:tcPr>
            <w:tcW w:w="1980" w:type="dxa"/>
          </w:tcPr>
          <w:p w14:paraId="0CE9BABB" w14:textId="21C20EBD" w:rsidR="00792D4B" w:rsidRPr="00BC730F" w:rsidRDefault="00792D4B" w:rsidP="00792D4B">
            <w:pPr>
              <w:pStyle w:val="TableParagraph"/>
              <w:rPr>
                <w:rFonts w:asciiTheme="minorHAnsi" w:hAnsiTheme="minorHAnsi" w:cstheme="minorHAnsi"/>
                <w:bCs/>
                <w:i/>
                <w:iCs/>
                <w:sz w:val="20"/>
                <w:szCs w:val="20"/>
              </w:rPr>
            </w:pPr>
          </w:p>
        </w:tc>
        <w:tc>
          <w:tcPr>
            <w:tcW w:w="3690" w:type="dxa"/>
          </w:tcPr>
          <w:p w14:paraId="7DAD4DF4" w14:textId="7E0D3C83" w:rsidR="00792D4B" w:rsidRPr="000B2036" w:rsidRDefault="00F64F10" w:rsidP="00792D4B">
            <w:pPr>
              <w:pStyle w:val="TableParagraph"/>
              <w:rPr>
                <w:rFonts w:asciiTheme="minorHAnsi" w:hAnsiTheme="minorHAnsi" w:cstheme="minorHAnsi"/>
                <w:sz w:val="20"/>
                <w:szCs w:val="20"/>
              </w:rPr>
            </w:pPr>
            <w:r>
              <w:rPr>
                <w:rFonts w:asciiTheme="minorHAnsi" w:hAnsiTheme="minorHAnsi" w:cstheme="minorHAnsi"/>
                <w:sz w:val="20"/>
                <w:szCs w:val="20"/>
              </w:rPr>
              <w:t>Draft recommendation in full AMG meeting</w:t>
            </w:r>
          </w:p>
        </w:tc>
      </w:tr>
      <w:tr w:rsidR="00792D4B" w:rsidRPr="000B2036" w14:paraId="00A826E0" w14:textId="77777777" w:rsidTr="505C20AD">
        <w:trPr>
          <w:trHeight w:val="2069"/>
        </w:trPr>
        <w:tc>
          <w:tcPr>
            <w:tcW w:w="2520" w:type="dxa"/>
          </w:tcPr>
          <w:p w14:paraId="65D011F9" w14:textId="310069CB" w:rsidR="00792D4B" w:rsidRPr="000B2036" w:rsidRDefault="00792D4B" w:rsidP="00792D4B">
            <w:pPr>
              <w:pStyle w:val="TableParagraph"/>
              <w:rPr>
                <w:rFonts w:asciiTheme="minorHAnsi" w:hAnsiTheme="minorHAnsi" w:cstheme="minorHAnsi"/>
                <w:sz w:val="20"/>
                <w:szCs w:val="20"/>
              </w:rPr>
            </w:pPr>
            <w:r>
              <w:rPr>
                <w:rFonts w:asciiTheme="minorHAnsi" w:hAnsiTheme="minorHAnsi" w:cstheme="minorHAnsi"/>
                <w:sz w:val="20"/>
                <w:szCs w:val="20"/>
              </w:rPr>
              <w:lastRenderedPageBreak/>
              <w:t xml:space="preserve">Ensure implementation of treatments is responsive to…new scientific information. </w:t>
            </w:r>
            <w:r w:rsidRPr="00264E44">
              <w:rPr>
                <w:rFonts w:asciiTheme="minorHAnsi" w:hAnsiTheme="minorHAnsi" w:cstheme="minorHAnsi"/>
                <w:sz w:val="16"/>
                <w:szCs w:val="16"/>
              </w:rPr>
              <w:t>(FEIS Appendix E, Public Engagement in Adaptive Implementation, Goal p. 2)</w:t>
            </w:r>
          </w:p>
        </w:tc>
        <w:tc>
          <w:tcPr>
            <w:tcW w:w="1620" w:type="dxa"/>
          </w:tcPr>
          <w:p w14:paraId="7A4E721E" w14:textId="31F3D0C2" w:rsidR="00792D4B" w:rsidRPr="0079238E" w:rsidRDefault="00792D4B" w:rsidP="00792D4B">
            <w:pPr>
              <w:pStyle w:val="TableParagraph"/>
              <w:rPr>
                <w:rFonts w:asciiTheme="minorHAnsi" w:hAnsiTheme="minorHAnsi" w:cstheme="minorHAnsi"/>
                <w:i/>
                <w:iCs/>
                <w:sz w:val="20"/>
                <w:szCs w:val="20"/>
              </w:rPr>
            </w:pPr>
            <w:r>
              <w:rPr>
                <w:rFonts w:asciiTheme="minorHAnsi" w:hAnsiTheme="minorHAnsi" w:cstheme="minorHAnsi"/>
                <w:sz w:val="20"/>
                <w:szCs w:val="20"/>
              </w:rPr>
              <w:t xml:space="preserve">Science team questions not specifically linked to in earlier goals – </w:t>
            </w:r>
            <w:r w:rsidRPr="00DF7929">
              <w:rPr>
                <w:rFonts w:asciiTheme="minorHAnsi" w:hAnsiTheme="minorHAnsi" w:cstheme="minorHAnsi"/>
                <w:sz w:val="20"/>
                <w:szCs w:val="20"/>
              </w:rPr>
              <w:t>lynx focus</w:t>
            </w:r>
            <w:r>
              <w:rPr>
                <w:rFonts w:asciiTheme="minorHAnsi" w:hAnsiTheme="minorHAnsi" w:cstheme="minorHAnsi"/>
                <w:sz w:val="20"/>
                <w:szCs w:val="20"/>
              </w:rPr>
              <w:t xml:space="preserve"> </w:t>
            </w:r>
            <w:r>
              <w:rPr>
                <w:rFonts w:asciiTheme="minorHAnsi" w:hAnsiTheme="minorHAnsi" w:cstheme="minorHAnsi"/>
                <w:i/>
                <w:iCs/>
                <w:sz w:val="20"/>
                <w:szCs w:val="20"/>
              </w:rPr>
              <w:t xml:space="preserve">(1e,3b-c) </w:t>
            </w:r>
          </w:p>
        </w:tc>
        <w:tc>
          <w:tcPr>
            <w:tcW w:w="6930" w:type="dxa"/>
          </w:tcPr>
          <w:p w14:paraId="1FA55AEB" w14:textId="0BD9727D" w:rsidR="00792D4B" w:rsidRPr="00B265CC" w:rsidRDefault="00792D4B" w:rsidP="00792D4B">
            <w:pPr>
              <w:pStyle w:val="TableParagraph"/>
              <w:rPr>
                <w:rFonts w:asciiTheme="minorHAnsi" w:hAnsiTheme="minorHAnsi" w:cstheme="minorHAnsi"/>
                <w:sz w:val="20"/>
              </w:rPr>
            </w:pPr>
            <w:r w:rsidRPr="00B265CC">
              <w:rPr>
                <w:rFonts w:asciiTheme="minorHAnsi" w:hAnsiTheme="minorHAnsi" w:cstheme="minorHAnsi"/>
                <w:i/>
                <w:iCs/>
                <w:sz w:val="20"/>
              </w:rPr>
              <w:t>(1e)</w:t>
            </w:r>
            <w:r>
              <w:rPr>
                <w:rFonts w:asciiTheme="minorHAnsi" w:hAnsiTheme="minorHAnsi" w:cstheme="minorHAnsi"/>
                <w:sz w:val="20"/>
              </w:rPr>
              <w:t xml:space="preserve"> From 2018-2020</w:t>
            </w:r>
            <w:r w:rsidRPr="00B265CC">
              <w:rPr>
                <w:rFonts w:asciiTheme="minorHAnsi" w:hAnsiTheme="minorHAnsi" w:cstheme="minorHAnsi"/>
                <w:sz w:val="20"/>
              </w:rPr>
              <w:t xml:space="preserve">, monitoring of hare pellets in the Engelmann spruce dominated stands has demonstrated that snowshoe hares continue to utilize areas that were impacted by the spruce beetle.  However, </w:t>
            </w:r>
            <w:r>
              <w:rPr>
                <w:rFonts w:asciiTheme="minorHAnsi" w:hAnsiTheme="minorHAnsi" w:cstheme="minorHAnsi"/>
                <w:sz w:val="20"/>
              </w:rPr>
              <w:t>in 2020</w:t>
            </w:r>
            <w:r w:rsidRPr="00B265CC">
              <w:rPr>
                <w:rFonts w:asciiTheme="minorHAnsi" w:hAnsiTheme="minorHAnsi" w:cstheme="minorHAnsi"/>
                <w:sz w:val="20"/>
              </w:rPr>
              <w:t xml:space="preserve">, field data suggested that salvage areas had lower hare density.  Hare pellet counts in the salvage areas were always lower in the previous years, but not </w:t>
            </w:r>
            <w:r>
              <w:rPr>
                <w:rFonts w:asciiTheme="minorHAnsi" w:hAnsiTheme="minorHAnsi" w:cstheme="minorHAnsi"/>
                <w:sz w:val="20"/>
              </w:rPr>
              <w:t xml:space="preserve">statistically </w:t>
            </w:r>
            <w:r w:rsidRPr="00B265CC">
              <w:rPr>
                <w:rFonts w:asciiTheme="minorHAnsi" w:hAnsiTheme="minorHAnsi" w:cstheme="minorHAnsi"/>
                <w:sz w:val="20"/>
              </w:rPr>
              <w:t xml:space="preserve">significant.  </w:t>
            </w:r>
          </w:p>
          <w:p w14:paraId="259DA0AC" w14:textId="77777777" w:rsidR="00792D4B" w:rsidRPr="00B265CC" w:rsidRDefault="00792D4B" w:rsidP="00792D4B">
            <w:pPr>
              <w:pStyle w:val="TableParagraph"/>
              <w:rPr>
                <w:rFonts w:asciiTheme="minorHAnsi" w:hAnsiTheme="minorHAnsi" w:cstheme="minorHAnsi"/>
                <w:sz w:val="20"/>
              </w:rPr>
            </w:pPr>
          </w:p>
          <w:p w14:paraId="2B299BE9" w14:textId="3EA6A134" w:rsidR="00792D4B" w:rsidRPr="00B265CC" w:rsidRDefault="00792D4B" w:rsidP="00792D4B">
            <w:pPr>
              <w:pStyle w:val="TableParagraph"/>
              <w:rPr>
                <w:rFonts w:asciiTheme="minorHAnsi" w:hAnsiTheme="minorHAnsi" w:cstheme="minorHAnsi"/>
                <w:sz w:val="20"/>
              </w:rPr>
            </w:pPr>
            <w:r w:rsidRPr="00B265CC">
              <w:rPr>
                <w:rFonts w:asciiTheme="minorHAnsi" w:hAnsiTheme="minorHAnsi" w:cstheme="minorHAnsi"/>
                <w:sz w:val="20"/>
              </w:rPr>
              <w:t xml:space="preserve">In contrast to the Engelmann spruce dominated stands, areas that had a mix of Engelmann spruce and </w:t>
            </w:r>
            <w:r>
              <w:rPr>
                <w:rFonts w:asciiTheme="minorHAnsi" w:hAnsiTheme="minorHAnsi" w:cstheme="minorHAnsi"/>
                <w:sz w:val="20"/>
              </w:rPr>
              <w:t>a</w:t>
            </w:r>
            <w:r w:rsidRPr="00B265CC">
              <w:rPr>
                <w:rFonts w:asciiTheme="minorHAnsi" w:hAnsiTheme="minorHAnsi" w:cstheme="minorHAnsi"/>
                <w:sz w:val="20"/>
              </w:rPr>
              <w:t>spen showed that initially hares favored the unmanaged and previously managed stands.  However, in 2020, salvaged stands had higher hare pellet counts (</w:t>
            </w:r>
            <w:proofErr w:type="gramStart"/>
            <w:r>
              <w:rPr>
                <w:rFonts w:asciiTheme="minorHAnsi" w:hAnsiTheme="minorHAnsi" w:cstheme="minorHAnsi"/>
                <w:sz w:val="20"/>
              </w:rPr>
              <w:t>i</w:t>
            </w:r>
            <w:r w:rsidRPr="00B265CC">
              <w:rPr>
                <w:rFonts w:asciiTheme="minorHAnsi" w:hAnsiTheme="minorHAnsi" w:cstheme="minorHAnsi"/>
                <w:sz w:val="20"/>
              </w:rPr>
              <w:t>.e.</w:t>
            </w:r>
            <w:proofErr w:type="gramEnd"/>
            <w:r w:rsidRPr="00B265CC">
              <w:rPr>
                <w:rFonts w:asciiTheme="minorHAnsi" w:hAnsiTheme="minorHAnsi" w:cstheme="minorHAnsi"/>
                <w:sz w:val="20"/>
              </w:rPr>
              <w:t xml:space="preserve"> higher hare use), although the variability did not detect significant differences among treatments. </w:t>
            </w:r>
          </w:p>
          <w:p w14:paraId="764F00AC" w14:textId="77777777" w:rsidR="00792D4B" w:rsidRPr="00B265CC" w:rsidRDefault="00792D4B" w:rsidP="00792D4B">
            <w:pPr>
              <w:pStyle w:val="TableParagraph"/>
              <w:rPr>
                <w:rFonts w:asciiTheme="minorHAnsi" w:hAnsiTheme="minorHAnsi" w:cstheme="minorHAnsi"/>
                <w:sz w:val="20"/>
              </w:rPr>
            </w:pPr>
          </w:p>
          <w:p w14:paraId="53FF617A" w14:textId="116C223D" w:rsidR="00792D4B" w:rsidRDefault="00792D4B" w:rsidP="00792D4B">
            <w:pPr>
              <w:pStyle w:val="TableParagraph"/>
              <w:rPr>
                <w:rFonts w:asciiTheme="minorHAnsi" w:hAnsiTheme="minorHAnsi" w:cstheme="minorHAnsi"/>
                <w:sz w:val="20"/>
              </w:rPr>
            </w:pPr>
            <w:r w:rsidRPr="00B265CC">
              <w:rPr>
                <w:rFonts w:asciiTheme="minorHAnsi" w:hAnsiTheme="minorHAnsi" w:cstheme="minorHAnsi"/>
                <w:sz w:val="20"/>
              </w:rPr>
              <w:t>Based on these variable results, exploration of options to mitigate impacts to dense horizontal cover during salvage</w:t>
            </w:r>
            <w:r>
              <w:rPr>
                <w:rFonts w:asciiTheme="minorHAnsi" w:hAnsiTheme="minorHAnsi" w:cstheme="minorHAnsi"/>
                <w:sz w:val="20"/>
              </w:rPr>
              <w:t xml:space="preserve"> </w:t>
            </w:r>
            <w:r w:rsidRPr="00B265CC">
              <w:rPr>
                <w:rFonts w:asciiTheme="minorHAnsi" w:hAnsiTheme="minorHAnsi" w:cstheme="minorHAnsi"/>
                <w:sz w:val="20"/>
              </w:rPr>
              <w:t xml:space="preserve">should be considered. It is critical to continue to steer salvage away from high-quality Canada lynx habitat. A significant outstanding question </w:t>
            </w:r>
            <w:proofErr w:type="gramStart"/>
            <w:r w:rsidRPr="00B265CC">
              <w:rPr>
                <w:rFonts w:asciiTheme="minorHAnsi" w:hAnsiTheme="minorHAnsi" w:cstheme="minorHAnsi"/>
                <w:sz w:val="20"/>
              </w:rPr>
              <w:t>at this time</w:t>
            </w:r>
            <w:proofErr w:type="gramEnd"/>
            <w:r w:rsidRPr="00B265CC">
              <w:rPr>
                <w:rFonts w:asciiTheme="minorHAnsi" w:hAnsiTheme="minorHAnsi" w:cstheme="minorHAnsi"/>
                <w:sz w:val="20"/>
              </w:rPr>
              <w:t xml:space="preserve"> is the longevity of salvage impacts on hare density and why i</w:t>
            </w:r>
            <w:r>
              <w:rPr>
                <w:rFonts w:asciiTheme="minorHAnsi" w:hAnsiTheme="minorHAnsi" w:cstheme="minorHAnsi"/>
                <w:sz w:val="20"/>
              </w:rPr>
              <w:t>t</w:t>
            </w:r>
            <w:r w:rsidRPr="00B265CC">
              <w:rPr>
                <w:rFonts w:asciiTheme="minorHAnsi" w:hAnsiTheme="minorHAnsi" w:cstheme="minorHAnsi"/>
                <w:sz w:val="20"/>
              </w:rPr>
              <w:t xml:space="preserve"> varies from year to year.</w:t>
            </w:r>
          </w:p>
          <w:p w14:paraId="75CD5EC8" w14:textId="62BA1B2F" w:rsidR="00792D4B" w:rsidRDefault="00792D4B" w:rsidP="00792D4B">
            <w:pPr>
              <w:pStyle w:val="TableParagraph"/>
              <w:rPr>
                <w:rFonts w:asciiTheme="minorHAnsi" w:hAnsiTheme="minorHAnsi" w:cstheme="minorHAnsi"/>
                <w:sz w:val="20"/>
              </w:rPr>
            </w:pPr>
          </w:p>
          <w:p w14:paraId="69D89222" w14:textId="3E849DAD" w:rsidR="00792D4B" w:rsidRPr="00660800" w:rsidRDefault="00792D4B" w:rsidP="00792D4B">
            <w:pPr>
              <w:pStyle w:val="TableParagraph"/>
              <w:rPr>
                <w:rFonts w:asciiTheme="minorHAnsi" w:hAnsiTheme="minorHAnsi" w:cstheme="minorHAnsi"/>
                <w:sz w:val="20"/>
              </w:rPr>
            </w:pPr>
            <w:r>
              <w:rPr>
                <w:rFonts w:asciiTheme="minorHAnsi" w:hAnsiTheme="minorHAnsi" w:cstheme="minorHAnsi"/>
                <w:i/>
                <w:iCs/>
                <w:sz w:val="20"/>
              </w:rPr>
              <w:t xml:space="preserve">(3b) </w:t>
            </w:r>
            <w:r w:rsidRPr="00660800">
              <w:rPr>
                <w:rFonts w:asciiTheme="minorHAnsi" w:hAnsiTheme="minorHAnsi" w:cstheme="minorHAnsi"/>
                <w:sz w:val="20"/>
              </w:rPr>
              <w:t xml:space="preserve">53 of 68 plots in Elks/West Elks study area from 2019 were revisited in 2020 to change temperature sensors and count hare pellets. </w:t>
            </w:r>
          </w:p>
          <w:p w14:paraId="346B1E6F" w14:textId="77777777" w:rsidR="00792D4B" w:rsidRPr="00660800" w:rsidRDefault="00792D4B" w:rsidP="00792D4B">
            <w:pPr>
              <w:pStyle w:val="TableParagraph"/>
              <w:rPr>
                <w:rFonts w:asciiTheme="minorHAnsi" w:hAnsiTheme="minorHAnsi" w:cstheme="minorHAnsi"/>
                <w:sz w:val="20"/>
              </w:rPr>
            </w:pPr>
            <w:r w:rsidRPr="00660800">
              <w:rPr>
                <w:rFonts w:asciiTheme="minorHAnsi" w:hAnsiTheme="minorHAnsi" w:cstheme="minorHAnsi"/>
                <w:sz w:val="20"/>
              </w:rPr>
              <w:t>Based on data from 2019 and 2020:</w:t>
            </w:r>
          </w:p>
          <w:p w14:paraId="0C7B5A60" w14:textId="1948B4E7" w:rsidR="00792D4B" w:rsidRPr="00660800" w:rsidRDefault="00792D4B" w:rsidP="00792D4B">
            <w:pPr>
              <w:pStyle w:val="TableParagraph"/>
              <w:numPr>
                <w:ilvl w:val="0"/>
                <w:numId w:val="2"/>
              </w:numPr>
              <w:rPr>
                <w:rFonts w:asciiTheme="minorHAnsi" w:hAnsiTheme="minorHAnsi" w:cstheme="minorHAnsi"/>
                <w:sz w:val="20"/>
              </w:rPr>
            </w:pPr>
            <w:r w:rsidRPr="00660800">
              <w:rPr>
                <w:rFonts w:asciiTheme="minorHAnsi" w:hAnsiTheme="minorHAnsi" w:cstheme="minorHAnsi"/>
                <w:sz w:val="20"/>
              </w:rPr>
              <w:t>As expected, hare pellet densities in spruce-fir dominated forests that have not been impacted by spruce beetle, tend to increase with increasing DHC. However, pellet counts do not increase linearly but instead increase rapidly at 20% DHC and stay high. The 20% threshold is lower than expected.</w:t>
            </w:r>
          </w:p>
          <w:p w14:paraId="7346C460" w14:textId="5697AC9D" w:rsidR="00792D4B" w:rsidRPr="00660800" w:rsidRDefault="00792D4B" w:rsidP="00792D4B">
            <w:pPr>
              <w:pStyle w:val="TableParagraph"/>
              <w:numPr>
                <w:ilvl w:val="0"/>
                <w:numId w:val="2"/>
              </w:numPr>
              <w:rPr>
                <w:rFonts w:asciiTheme="minorHAnsi" w:hAnsiTheme="minorHAnsi" w:cstheme="minorHAnsi"/>
                <w:sz w:val="20"/>
              </w:rPr>
            </w:pPr>
            <w:r w:rsidRPr="00660800">
              <w:rPr>
                <w:rFonts w:asciiTheme="minorHAnsi" w:hAnsiTheme="minorHAnsi" w:cstheme="minorHAnsi"/>
                <w:sz w:val="20"/>
              </w:rPr>
              <w:t xml:space="preserve">DHC is extremely heterogeneous on the landscape, with close plots (200m) with similar slope, aspect, </w:t>
            </w:r>
            <w:proofErr w:type="gramStart"/>
            <w:r w:rsidRPr="00660800">
              <w:rPr>
                <w:rFonts w:asciiTheme="minorHAnsi" w:hAnsiTheme="minorHAnsi" w:cstheme="minorHAnsi"/>
                <w:sz w:val="20"/>
              </w:rPr>
              <w:t>elevation</w:t>
            </w:r>
            <w:proofErr w:type="gramEnd"/>
            <w:r w:rsidRPr="00660800">
              <w:rPr>
                <w:rFonts w:asciiTheme="minorHAnsi" w:hAnsiTheme="minorHAnsi" w:cstheme="minorHAnsi"/>
                <w:sz w:val="20"/>
              </w:rPr>
              <w:t xml:space="preserve"> and fire history often having large differences in DHC measurements. This is hypothesized to reflect fine scale variability in soils, soil water availability and canopy closure.</w:t>
            </w:r>
          </w:p>
          <w:p w14:paraId="18B1D615" w14:textId="3B8EB90A" w:rsidR="00792D4B" w:rsidRPr="00660800" w:rsidRDefault="00792D4B" w:rsidP="00792D4B">
            <w:pPr>
              <w:pStyle w:val="TableParagraph"/>
              <w:numPr>
                <w:ilvl w:val="0"/>
                <w:numId w:val="2"/>
              </w:numPr>
              <w:rPr>
                <w:rFonts w:asciiTheme="minorHAnsi" w:hAnsiTheme="minorHAnsi" w:cstheme="minorHAnsi"/>
                <w:sz w:val="20"/>
              </w:rPr>
            </w:pPr>
            <w:r w:rsidRPr="00660800">
              <w:rPr>
                <w:rFonts w:asciiTheme="minorHAnsi" w:hAnsiTheme="minorHAnsi" w:cstheme="minorHAnsi"/>
                <w:sz w:val="20"/>
              </w:rPr>
              <w:t>DHC and hare pellet densities are heterogeneous at fine scales (100-200m).</w:t>
            </w:r>
          </w:p>
          <w:p w14:paraId="7D24C363" w14:textId="77777777" w:rsidR="00792D4B" w:rsidRDefault="00792D4B" w:rsidP="00792D4B">
            <w:pPr>
              <w:rPr>
                <w:rFonts w:asciiTheme="minorHAnsi" w:hAnsiTheme="minorHAnsi" w:cstheme="minorBidi"/>
                <w:sz w:val="20"/>
                <w:szCs w:val="20"/>
              </w:rPr>
            </w:pPr>
            <w:r w:rsidRPr="00A15138">
              <w:rPr>
                <w:rFonts w:asciiTheme="minorHAnsi" w:hAnsiTheme="minorHAnsi" w:cstheme="minorBidi"/>
                <w:sz w:val="20"/>
                <w:szCs w:val="20"/>
              </w:rPr>
              <w:t>The increase in pellet counts at 20% suggests that lower levels of DHC could provide valuable hare habitat in spruce-fir forests that have not been impacted by spruce beetle.</w:t>
            </w:r>
            <w:r>
              <w:rPr>
                <w:rFonts w:asciiTheme="minorHAnsi" w:hAnsiTheme="minorHAnsi" w:cstheme="minorBidi"/>
                <w:sz w:val="20"/>
                <w:szCs w:val="20"/>
              </w:rPr>
              <w:t xml:space="preserve"> </w:t>
            </w:r>
            <w:r w:rsidRPr="00A15138">
              <w:rPr>
                <w:rFonts w:asciiTheme="minorHAnsi" w:hAnsiTheme="minorHAnsi" w:cstheme="minorBidi"/>
                <w:sz w:val="20"/>
                <w:szCs w:val="20"/>
              </w:rPr>
              <w:t>The heterogeneous nature of DHC at relatively fine scales (&lt;100-200m) stresses the challenges of quantifying DHC within treatment areas.</w:t>
            </w:r>
            <w:r>
              <w:rPr>
                <w:rFonts w:asciiTheme="minorHAnsi" w:hAnsiTheme="minorHAnsi" w:cstheme="minorBidi"/>
                <w:sz w:val="20"/>
                <w:szCs w:val="20"/>
              </w:rPr>
              <w:t xml:space="preserve"> </w:t>
            </w:r>
            <w:r w:rsidRPr="00A15138">
              <w:rPr>
                <w:rFonts w:asciiTheme="minorHAnsi" w:hAnsiTheme="minorHAnsi" w:cstheme="minorBidi"/>
                <w:sz w:val="20"/>
                <w:szCs w:val="20"/>
              </w:rPr>
              <w:t>Fine-scale heterogeneity in DHC and hare pellet counts means that it is challenging to identify large areas that are key for Canada lynx conservation.</w:t>
            </w:r>
          </w:p>
          <w:p w14:paraId="76CB5355" w14:textId="77777777" w:rsidR="00BB2DFA" w:rsidRDefault="00BB2DFA" w:rsidP="00792D4B">
            <w:pPr>
              <w:rPr>
                <w:rFonts w:asciiTheme="minorHAnsi" w:hAnsiTheme="minorHAnsi" w:cstheme="minorBidi"/>
                <w:sz w:val="20"/>
                <w:szCs w:val="20"/>
              </w:rPr>
            </w:pPr>
          </w:p>
          <w:p w14:paraId="3F25DDF0" w14:textId="1C4DF1F7" w:rsidR="00BB2DFA" w:rsidRDefault="0086275F" w:rsidP="00792D4B">
            <w:pPr>
              <w:rPr>
                <w:rFonts w:asciiTheme="minorHAnsi" w:hAnsiTheme="minorHAnsi" w:cstheme="minorBidi"/>
                <w:sz w:val="20"/>
                <w:szCs w:val="20"/>
              </w:rPr>
            </w:pPr>
            <w:r>
              <w:rPr>
                <w:rFonts w:asciiTheme="minorHAnsi" w:hAnsiTheme="minorHAnsi" w:cstheme="minorBidi"/>
                <w:sz w:val="20"/>
                <w:szCs w:val="20"/>
              </w:rPr>
              <w:lastRenderedPageBreak/>
              <w:t>CPW lynx monitoring update at 2023 meeting</w:t>
            </w:r>
            <w:r w:rsidR="00BB2DFA">
              <w:rPr>
                <w:rFonts w:asciiTheme="minorHAnsi" w:hAnsiTheme="minorHAnsi" w:cstheme="minorBidi"/>
                <w:sz w:val="20"/>
                <w:szCs w:val="20"/>
              </w:rPr>
              <w:t>:</w:t>
            </w:r>
          </w:p>
          <w:p w14:paraId="2E7CE1FC" w14:textId="787037B2" w:rsidR="00BB2DFA" w:rsidRPr="00931138" w:rsidRDefault="00BB2DFA" w:rsidP="00792D4B">
            <w:pPr>
              <w:rPr>
                <w:rFonts w:asciiTheme="minorHAnsi" w:hAnsiTheme="minorHAnsi" w:cstheme="minorBidi"/>
                <w:sz w:val="20"/>
                <w:szCs w:val="20"/>
              </w:rPr>
            </w:pPr>
            <w:r w:rsidRPr="00BB2DFA">
              <w:rPr>
                <w:rFonts w:asciiTheme="minorHAnsi" w:hAnsiTheme="minorHAnsi" w:cstheme="minorBidi"/>
                <w:sz w:val="20"/>
                <w:szCs w:val="20"/>
                <w:highlight w:val="yellow"/>
              </w:rPr>
              <w:t>The statewide lynx population appears to be relatively stable. Snowshoe hares continue to use habitat impacted by bark beetles, and favor areas with high dense horizontal cover (especially subalpine fir DHC). Red squirrel population sizes show a negative response to spruce beetle outbreaks (and outbreak severity).</w:t>
            </w:r>
            <w:r>
              <w:rPr>
                <w:rFonts w:asciiTheme="minorHAnsi" w:hAnsiTheme="minorHAnsi" w:cstheme="minorBidi"/>
                <w:sz w:val="20"/>
                <w:szCs w:val="20"/>
              </w:rPr>
              <w:t xml:space="preserve"> </w:t>
            </w:r>
          </w:p>
        </w:tc>
        <w:tc>
          <w:tcPr>
            <w:tcW w:w="2070" w:type="dxa"/>
          </w:tcPr>
          <w:p w14:paraId="07F64868" w14:textId="5E67962C" w:rsidR="00792D4B" w:rsidRPr="00E97D1D" w:rsidRDefault="00F64F10" w:rsidP="00792D4B">
            <w:pPr>
              <w:rPr>
                <w:rFonts w:asciiTheme="minorHAnsi" w:hAnsiTheme="minorHAnsi" w:cstheme="minorHAnsi"/>
                <w:sz w:val="20"/>
              </w:rPr>
            </w:pPr>
            <w:r w:rsidRPr="00F64F10">
              <w:rPr>
                <w:rFonts w:asciiTheme="minorHAnsi" w:hAnsiTheme="minorHAnsi" w:cstheme="minorHAnsi"/>
                <w:sz w:val="20"/>
                <w:highlight w:val="yellow"/>
              </w:rPr>
              <w:lastRenderedPageBreak/>
              <w:t>Per Science Team interpretation, recommend that the GMUG explore options to mitigate impacts to dense horizontal cover during salvage.</w:t>
            </w:r>
          </w:p>
        </w:tc>
        <w:tc>
          <w:tcPr>
            <w:tcW w:w="1980" w:type="dxa"/>
          </w:tcPr>
          <w:p w14:paraId="0E4478AE" w14:textId="494248DC" w:rsidR="00792D4B" w:rsidRPr="00BC730F" w:rsidRDefault="00792D4B" w:rsidP="00792D4B">
            <w:pPr>
              <w:pStyle w:val="TableParagraph"/>
              <w:rPr>
                <w:rFonts w:asciiTheme="minorHAnsi" w:hAnsiTheme="minorHAnsi" w:cstheme="minorHAnsi"/>
                <w:bCs/>
                <w:i/>
                <w:iCs/>
                <w:sz w:val="20"/>
                <w:szCs w:val="20"/>
              </w:rPr>
            </w:pPr>
          </w:p>
        </w:tc>
        <w:tc>
          <w:tcPr>
            <w:tcW w:w="3690" w:type="dxa"/>
          </w:tcPr>
          <w:p w14:paraId="1556AA68" w14:textId="5921EB42" w:rsidR="00792D4B" w:rsidRPr="00E97D1D" w:rsidRDefault="00792D4B" w:rsidP="00792D4B">
            <w:pPr>
              <w:pStyle w:val="TableParagraph"/>
              <w:rPr>
                <w:rFonts w:asciiTheme="minorHAnsi" w:hAnsiTheme="minorHAnsi" w:cstheme="minorHAnsi"/>
                <w:sz w:val="20"/>
                <w:szCs w:val="20"/>
              </w:rPr>
            </w:pPr>
            <w:r w:rsidRPr="00E97D1D">
              <w:rPr>
                <w:rFonts w:asciiTheme="minorHAnsi" w:hAnsiTheme="minorHAnsi" w:cstheme="minorHAnsi"/>
                <w:sz w:val="20"/>
                <w:szCs w:val="20"/>
              </w:rPr>
              <w:t>This question is not specifically linked to the earlier goal but is a question posed specifically to the Science Team in response to public concerns expressed during the NEPA process.  It represents a higher level of research and conversation conducted at a b</w:t>
            </w:r>
            <w:r w:rsidR="007113E1">
              <w:rPr>
                <w:rFonts w:asciiTheme="minorHAnsi" w:hAnsiTheme="minorHAnsi" w:cstheme="minorHAnsi"/>
                <w:sz w:val="20"/>
                <w:szCs w:val="20"/>
              </w:rPr>
              <w:t>r</w:t>
            </w:r>
            <w:r w:rsidRPr="00E97D1D">
              <w:rPr>
                <w:rFonts w:asciiTheme="minorHAnsi" w:hAnsiTheme="minorHAnsi" w:cstheme="minorHAnsi"/>
                <w:sz w:val="20"/>
                <w:szCs w:val="20"/>
              </w:rPr>
              <w:t xml:space="preserve">oader landscape scale.  The results of this level of research may help inform SBEADMR design and implementation. </w:t>
            </w:r>
          </w:p>
          <w:p w14:paraId="38D4124D" w14:textId="77777777" w:rsidR="00792D4B" w:rsidRDefault="00792D4B" w:rsidP="00792D4B">
            <w:pPr>
              <w:pStyle w:val="TableParagraph"/>
              <w:rPr>
                <w:rFonts w:asciiTheme="minorHAnsi" w:hAnsiTheme="minorHAnsi" w:cstheme="minorHAnsi"/>
                <w:sz w:val="20"/>
                <w:szCs w:val="20"/>
                <w:highlight w:val="yellow"/>
              </w:rPr>
            </w:pPr>
          </w:p>
          <w:p w14:paraId="73D655D8" w14:textId="5D836F46" w:rsidR="00792D4B" w:rsidRPr="000B2036" w:rsidRDefault="00792D4B" w:rsidP="00792D4B">
            <w:pPr>
              <w:pStyle w:val="TableParagraph"/>
              <w:rPr>
                <w:rFonts w:asciiTheme="minorHAnsi" w:hAnsiTheme="minorHAnsi" w:cstheme="minorHAnsi"/>
                <w:sz w:val="20"/>
                <w:szCs w:val="20"/>
              </w:rPr>
            </w:pPr>
          </w:p>
        </w:tc>
      </w:tr>
      <w:tr w:rsidR="00792D4B" w:rsidRPr="000B2036" w14:paraId="48B7A0B3" w14:textId="77777777" w:rsidTr="505C20AD">
        <w:trPr>
          <w:trHeight w:val="2069"/>
        </w:trPr>
        <w:tc>
          <w:tcPr>
            <w:tcW w:w="2520" w:type="dxa"/>
          </w:tcPr>
          <w:p w14:paraId="6FBD4B82" w14:textId="43BFD2A2" w:rsidR="00792D4B" w:rsidRDefault="00792D4B" w:rsidP="00792D4B">
            <w:pPr>
              <w:pStyle w:val="TableParagraph"/>
              <w:rPr>
                <w:rFonts w:asciiTheme="minorHAnsi" w:hAnsiTheme="minorHAnsi" w:cstheme="minorHAnsi"/>
                <w:sz w:val="20"/>
                <w:szCs w:val="20"/>
              </w:rPr>
            </w:pPr>
            <w:r>
              <w:rPr>
                <w:rFonts w:asciiTheme="minorHAnsi" w:hAnsiTheme="minorHAnsi" w:cstheme="minorHAnsi"/>
                <w:sz w:val="20"/>
                <w:szCs w:val="20"/>
              </w:rPr>
              <w:t xml:space="preserve">Ensure implementation of treatments is responsive to…new scientific information. </w:t>
            </w:r>
            <w:r w:rsidRPr="00264E44">
              <w:rPr>
                <w:rFonts w:asciiTheme="minorHAnsi" w:hAnsiTheme="minorHAnsi" w:cstheme="minorHAnsi"/>
                <w:sz w:val="16"/>
                <w:szCs w:val="16"/>
              </w:rPr>
              <w:t>(FEIS Appendix E, Public Engagement in Adaptive Implementation, Goal p. 2)</w:t>
            </w:r>
          </w:p>
        </w:tc>
        <w:tc>
          <w:tcPr>
            <w:tcW w:w="1620" w:type="dxa"/>
          </w:tcPr>
          <w:p w14:paraId="4C06B6D5" w14:textId="4A0FB768" w:rsidR="00792D4B" w:rsidRDefault="00792D4B" w:rsidP="00792D4B">
            <w:pPr>
              <w:pStyle w:val="TableParagraph"/>
              <w:rPr>
                <w:rFonts w:asciiTheme="minorHAnsi" w:hAnsiTheme="minorHAnsi" w:cstheme="minorHAnsi"/>
                <w:sz w:val="20"/>
                <w:szCs w:val="20"/>
              </w:rPr>
            </w:pPr>
            <w:r>
              <w:rPr>
                <w:rFonts w:asciiTheme="minorHAnsi" w:hAnsiTheme="minorHAnsi" w:cstheme="minorHAnsi"/>
                <w:sz w:val="20"/>
                <w:szCs w:val="20"/>
              </w:rPr>
              <w:t>Science team questions not specifically linked to in earlier goals – climate</w:t>
            </w:r>
            <w:r w:rsidRPr="00DF7929">
              <w:rPr>
                <w:rFonts w:asciiTheme="minorHAnsi" w:hAnsiTheme="minorHAnsi" w:cstheme="minorHAnsi"/>
                <w:sz w:val="20"/>
                <w:szCs w:val="20"/>
              </w:rPr>
              <w:t xml:space="preserve"> focus</w:t>
            </w:r>
            <w:r>
              <w:rPr>
                <w:rFonts w:asciiTheme="minorHAnsi" w:hAnsiTheme="minorHAnsi" w:cstheme="minorHAnsi"/>
                <w:sz w:val="20"/>
                <w:szCs w:val="20"/>
              </w:rPr>
              <w:t xml:space="preserve"> </w:t>
            </w:r>
            <w:r>
              <w:rPr>
                <w:rFonts w:asciiTheme="minorHAnsi" w:hAnsiTheme="minorHAnsi" w:cstheme="minorHAnsi"/>
                <w:i/>
                <w:iCs/>
                <w:sz w:val="20"/>
                <w:szCs w:val="20"/>
              </w:rPr>
              <w:t>(3a, 3c</w:t>
            </w:r>
            <w:r w:rsidR="00060533">
              <w:rPr>
                <w:rFonts w:asciiTheme="minorHAnsi" w:hAnsiTheme="minorHAnsi" w:cstheme="minorHAnsi"/>
                <w:i/>
                <w:iCs/>
                <w:sz w:val="20"/>
                <w:szCs w:val="20"/>
              </w:rPr>
              <w:t>, 3e</w:t>
            </w:r>
            <w:r>
              <w:rPr>
                <w:rFonts w:asciiTheme="minorHAnsi" w:hAnsiTheme="minorHAnsi" w:cstheme="minorHAnsi"/>
                <w:i/>
                <w:iCs/>
                <w:sz w:val="20"/>
                <w:szCs w:val="20"/>
              </w:rPr>
              <w:t>)</w:t>
            </w:r>
          </w:p>
        </w:tc>
        <w:tc>
          <w:tcPr>
            <w:tcW w:w="6930" w:type="dxa"/>
          </w:tcPr>
          <w:p w14:paraId="2DEB421C" w14:textId="77777777" w:rsidR="00792D4B" w:rsidRPr="00814D72" w:rsidRDefault="00792D4B" w:rsidP="00792D4B">
            <w:pPr>
              <w:rPr>
                <w:rFonts w:asciiTheme="minorHAnsi" w:hAnsiTheme="minorHAnsi" w:cstheme="minorBidi"/>
                <w:sz w:val="20"/>
                <w:szCs w:val="20"/>
              </w:rPr>
            </w:pPr>
            <w:r>
              <w:rPr>
                <w:rFonts w:asciiTheme="minorHAnsi" w:hAnsiTheme="minorHAnsi" w:cstheme="minorBidi"/>
                <w:i/>
                <w:iCs/>
                <w:sz w:val="20"/>
                <w:szCs w:val="20"/>
              </w:rPr>
              <w:t xml:space="preserve">(3c) </w:t>
            </w:r>
            <w:r w:rsidRPr="00814D72">
              <w:rPr>
                <w:rFonts w:asciiTheme="minorHAnsi" w:hAnsiTheme="minorHAnsi" w:cstheme="minorBidi"/>
                <w:sz w:val="20"/>
                <w:szCs w:val="20"/>
              </w:rPr>
              <w:t>Results of modeling future patterns of spruce forest distribution under different climate scenarios show that there is a very large range of potential future spruce cover scenarios – from a rapid decline to almost no spruce cover by 2060 and basically no cover in 2090 in the A1 climate scenario to relatively modest declines in the B1/B2 scenario. These models also show where on the landscape efforts to maintain spruce forests for habitat for Canada lynx and other subalpine species will most likely be successful.</w:t>
            </w:r>
          </w:p>
          <w:p w14:paraId="3553FAEC" w14:textId="77777777" w:rsidR="00792D4B" w:rsidRPr="00814D72" w:rsidRDefault="00792D4B" w:rsidP="00792D4B">
            <w:pPr>
              <w:rPr>
                <w:rFonts w:asciiTheme="minorHAnsi" w:hAnsiTheme="minorHAnsi" w:cstheme="minorBidi"/>
                <w:sz w:val="20"/>
                <w:szCs w:val="20"/>
              </w:rPr>
            </w:pPr>
          </w:p>
          <w:p w14:paraId="71CE05E6" w14:textId="248F2A73" w:rsidR="00792D4B" w:rsidRDefault="00792D4B" w:rsidP="00792D4B">
            <w:pPr>
              <w:rPr>
                <w:rFonts w:asciiTheme="minorHAnsi" w:hAnsiTheme="minorHAnsi" w:cstheme="minorBidi"/>
                <w:sz w:val="20"/>
                <w:szCs w:val="20"/>
              </w:rPr>
            </w:pPr>
            <w:r w:rsidRPr="00814D72">
              <w:rPr>
                <w:rFonts w:asciiTheme="minorHAnsi" w:hAnsiTheme="minorHAnsi" w:cstheme="minorBidi"/>
                <w:sz w:val="20"/>
                <w:szCs w:val="20"/>
              </w:rPr>
              <w:t>Models of landscape connectivity for Canada lynx for the A1, and B1/B2 models for 2060 and 2090</w:t>
            </w:r>
            <w:r>
              <w:rPr>
                <w:rFonts w:asciiTheme="minorHAnsi" w:hAnsiTheme="minorHAnsi" w:cstheme="minorBidi"/>
                <w:sz w:val="20"/>
                <w:szCs w:val="20"/>
              </w:rPr>
              <w:t xml:space="preserve"> </w:t>
            </w:r>
            <w:r w:rsidRPr="00814D72">
              <w:rPr>
                <w:rFonts w:asciiTheme="minorHAnsi" w:hAnsiTheme="minorHAnsi" w:cstheme="minorBidi"/>
                <w:sz w:val="20"/>
                <w:szCs w:val="20"/>
              </w:rPr>
              <w:t>continue to identify the eastern portion of the Gunnison basin as a critical area for connectivity for Canada lynx between the San Juan Mountains and northern Ranges in Colorado.</w:t>
            </w:r>
          </w:p>
          <w:p w14:paraId="07C5446A" w14:textId="77777777" w:rsidR="00792D4B" w:rsidRDefault="00792D4B" w:rsidP="00792D4B">
            <w:pPr>
              <w:rPr>
                <w:rFonts w:asciiTheme="minorHAnsi" w:hAnsiTheme="minorHAnsi" w:cstheme="minorBidi"/>
                <w:sz w:val="20"/>
                <w:szCs w:val="20"/>
              </w:rPr>
            </w:pPr>
          </w:p>
          <w:p w14:paraId="45ABAAA2" w14:textId="77777777" w:rsidR="00792D4B" w:rsidRDefault="00792D4B" w:rsidP="00792D4B">
            <w:pPr>
              <w:pStyle w:val="TableParagraph"/>
              <w:rPr>
                <w:rFonts w:asciiTheme="minorHAnsi" w:hAnsiTheme="minorHAnsi" w:cstheme="minorBidi"/>
                <w:sz w:val="20"/>
                <w:szCs w:val="20"/>
              </w:rPr>
            </w:pPr>
            <w:r w:rsidRPr="00931138">
              <w:rPr>
                <w:rFonts w:asciiTheme="minorHAnsi" w:hAnsiTheme="minorHAnsi" w:cstheme="minorBidi"/>
                <w:sz w:val="20"/>
                <w:szCs w:val="20"/>
              </w:rPr>
              <w:t>These model results could be used to identify locations on the landscape where spruce would be anticipated to persist into the future or where management should focus on maintaining spruce on the landscape (corridors). This information can be used to identify appropriate treatments, exclusion of treatment or post-treatment management including reforestation.</w:t>
            </w:r>
          </w:p>
          <w:p w14:paraId="3DF11187" w14:textId="77777777" w:rsidR="00060533" w:rsidRDefault="00060533" w:rsidP="00792D4B">
            <w:pPr>
              <w:pStyle w:val="TableParagraph"/>
              <w:rPr>
                <w:rFonts w:asciiTheme="minorHAnsi" w:hAnsiTheme="minorHAnsi" w:cstheme="minorBidi"/>
                <w:sz w:val="20"/>
                <w:szCs w:val="20"/>
              </w:rPr>
            </w:pPr>
          </w:p>
          <w:p w14:paraId="7205BC48" w14:textId="77777777" w:rsidR="00060533" w:rsidRDefault="00060533" w:rsidP="00792D4B">
            <w:pPr>
              <w:pStyle w:val="TableParagraph"/>
              <w:rPr>
                <w:rFonts w:asciiTheme="minorHAnsi" w:hAnsiTheme="minorHAnsi" w:cstheme="minorBidi"/>
                <w:sz w:val="20"/>
                <w:szCs w:val="20"/>
              </w:rPr>
            </w:pPr>
            <w:r>
              <w:rPr>
                <w:rFonts w:asciiTheme="minorHAnsi" w:hAnsiTheme="minorHAnsi" w:cstheme="minorBidi"/>
                <w:i/>
                <w:iCs/>
                <w:sz w:val="20"/>
                <w:szCs w:val="20"/>
              </w:rPr>
              <w:t>(</w:t>
            </w:r>
            <w:r w:rsidRPr="00060533">
              <w:rPr>
                <w:rFonts w:asciiTheme="minorHAnsi" w:hAnsiTheme="minorHAnsi" w:cstheme="minorBidi"/>
                <w:i/>
                <w:iCs/>
                <w:sz w:val="20"/>
                <w:szCs w:val="20"/>
                <w:highlight w:val="yellow"/>
              </w:rPr>
              <w:t xml:space="preserve">3e) </w:t>
            </w:r>
            <w:r w:rsidRPr="00060533">
              <w:rPr>
                <w:rFonts w:asciiTheme="minorHAnsi" w:hAnsiTheme="minorHAnsi" w:cstheme="minorBidi"/>
                <w:sz w:val="20"/>
                <w:szCs w:val="20"/>
                <w:highlight w:val="yellow"/>
              </w:rPr>
              <w:t xml:space="preserve">Temperature sensor data indicates that overall, salvage sites have later snowmelt and cooler temperatures (surface and 2m) compared to non-harvested control sites. The overall influence is a shorter growing season. Moreover, the combination of later snowmelt and cooler conditions would be expected to decrease soil moisture stress on seedlings. These conditions would be expected to mitigate recent and projected warmer temperatures and decreased </w:t>
            </w:r>
            <w:proofErr w:type="gramStart"/>
            <w:r w:rsidRPr="00060533">
              <w:rPr>
                <w:rFonts w:asciiTheme="minorHAnsi" w:hAnsiTheme="minorHAnsi" w:cstheme="minorBidi"/>
                <w:sz w:val="20"/>
                <w:szCs w:val="20"/>
                <w:highlight w:val="yellow"/>
              </w:rPr>
              <w:t>precipitation, and</w:t>
            </w:r>
            <w:proofErr w:type="gramEnd"/>
            <w:r w:rsidRPr="00060533">
              <w:rPr>
                <w:rFonts w:asciiTheme="minorHAnsi" w:hAnsiTheme="minorHAnsi" w:cstheme="minorBidi"/>
                <w:sz w:val="20"/>
                <w:szCs w:val="20"/>
                <w:highlight w:val="yellow"/>
              </w:rPr>
              <w:t xml:space="preserve"> facilitate spruce establishment. However, spruce establishment is a complicated process with more influences than summer season weather conditions.</w:t>
            </w:r>
          </w:p>
          <w:p w14:paraId="00C57C13" w14:textId="77777777" w:rsidR="00A14EB5" w:rsidRDefault="00A14EB5" w:rsidP="00792D4B">
            <w:pPr>
              <w:pStyle w:val="TableParagraph"/>
              <w:rPr>
                <w:rFonts w:asciiTheme="minorHAnsi" w:hAnsiTheme="minorHAnsi" w:cstheme="minorBidi"/>
                <w:sz w:val="20"/>
                <w:szCs w:val="20"/>
              </w:rPr>
            </w:pPr>
          </w:p>
          <w:p w14:paraId="38A0E5EB" w14:textId="333583A0" w:rsidR="00A14EB5" w:rsidRPr="00060533" w:rsidRDefault="00A14EB5" w:rsidP="00792D4B">
            <w:pPr>
              <w:pStyle w:val="TableParagraph"/>
              <w:rPr>
                <w:rFonts w:asciiTheme="minorHAnsi" w:hAnsiTheme="minorHAnsi" w:cstheme="minorHAnsi"/>
                <w:sz w:val="20"/>
              </w:rPr>
            </w:pPr>
            <w:r w:rsidRPr="000C5AD4">
              <w:rPr>
                <w:rFonts w:asciiTheme="minorHAnsi" w:hAnsiTheme="minorHAnsi" w:cstheme="minorHAnsi"/>
                <w:i/>
                <w:iCs/>
                <w:sz w:val="20"/>
                <w:szCs w:val="20"/>
              </w:rPr>
              <w:t>More detailed findings can be found in the 2023 SBEADMR Science Matrix</w:t>
            </w:r>
          </w:p>
        </w:tc>
        <w:tc>
          <w:tcPr>
            <w:tcW w:w="2070" w:type="dxa"/>
          </w:tcPr>
          <w:p w14:paraId="0FA1285D" w14:textId="0BB219D7" w:rsidR="00792D4B" w:rsidRPr="00F64F10" w:rsidRDefault="00F64F10" w:rsidP="00792D4B">
            <w:pPr>
              <w:pStyle w:val="TableParagraph"/>
              <w:rPr>
                <w:rFonts w:asciiTheme="minorHAnsi" w:hAnsiTheme="minorHAnsi" w:cstheme="minorHAnsi"/>
                <w:i/>
                <w:iCs/>
                <w:sz w:val="20"/>
              </w:rPr>
            </w:pPr>
            <w:r>
              <w:rPr>
                <w:rFonts w:asciiTheme="minorHAnsi" w:hAnsiTheme="minorHAnsi" w:cstheme="minorHAnsi"/>
                <w:i/>
                <w:iCs/>
                <w:sz w:val="20"/>
              </w:rPr>
              <w:t>No changes to SBEADMR needed at this time.</w:t>
            </w:r>
          </w:p>
        </w:tc>
        <w:tc>
          <w:tcPr>
            <w:tcW w:w="1980" w:type="dxa"/>
          </w:tcPr>
          <w:p w14:paraId="34962FE8" w14:textId="327B8E83" w:rsidR="00792D4B" w:rsidRPr="00BC730F" w:rsidRDefault="00792D4B" w:rsidP="00792D4B">
            <w:pPr>
              <w:pStyle w:val="TableParagraph"/>
              <w:rPr>
                <w:rFonts w:asciiTheme="minorHAnsi" w:hAnsiTheme="minorHAnsi" w:cstheme="minorHAnsi"/>
                <w:bCs/>
                <w:i/>
                <w:iCs/>
                <w:sz w:val="20"/>
                <w:szCs w:val="20"/>
              </w:rPr>
            </w:pPr>
          </w:p>
        </w:tc>
        <w:tc>
          <w:tcPr>
            <w:tcW w:w="3690" w:type="dxa"/>
          </w:tcPr>
          <w:p w14:paraId="11A972E8" w14:textId="77777777" w:rsidR="00792D4B" w:rsidRPr="00E97D1D" w:rsidRDefault="00792D4B" w:rsidP="00792D4B">
            <w:pPr>
              <w:pStyle w:val="TableParagraph"/>
              <w:rPr>
                <w:rFonts w:asciiTheme="minorHAnsi" w:hAnsiTheme="minorHAnsi" w:cstheme="minorHAnsi"/>
                <w:sz w:val="20"/>
                <w:szCs w:val="20"/>
              </w:rPr>
            </w:pPr>
            <w:r w:rsidRPr="00E97D1D">
              <w:rPr>
                <w:rFonts w:asciiTheme="minorHAnsi" w:hAnsiTheme="minorHAnsi" w:cstheme="minorHAnsi"/>
                <w:sz w:val="20"/>
                <w:szCs w:val="20"/>
              </w:rPr>
              <w:t xml:space="preserve">This question is not specifically linked to the earlier goal (climate focus) but is a question posed specifically to the Science Team in response to the increased awareness and concern for impacts of climate change.  It represents a higher level of research and conversation conducted at a boarder landscape scale.  The results of this level of research may help inform the SBEADMR design and implementation. </w:t>
            </w:r>
          </w:p>
          <w:p w14:paraId="2CA9F311" w14:textId="77777777" w:rsidR="00792D4B" w:rsidRDefault="00792D4B" w:rsidP="00792D4B">
            <w:pPr>
              <w:pStyle w:val="TableParagraph"/>
              <w:rPr>
                <w:rFonts w:asciiTheme="minorHAnsi" w:hAnsiTheme="minorHAnsi" w:cstheme="minorHAnsi"/>
                <w:sz w:val="20"/>
                <w:szCs w:val="20"/>
                <w:highlight w:val="yellow"/>
              </w:rPr>
            </w:pPr>
          </w:p>
          <w:p w14:paraId="00B8B2FF" w14:textId="77777777" w:rsidR="00792D4B" w:rsidRPr="000B2036" w:rsidRDefault="00792D4B" w:rsidP="00792D4B">
            <w:pPr>
              <w:pStyle w:val="TableParagraph"/>
              <w:rPr>
                <w:rFonts w:asciiTheme="minorHAnsi" w:hAnsiTheme="minorHAnsi" w:cstheme="minorHAnsi"/>
                <w:sz w:val="20"/>
                <w:szCs w:val="20"/>
              </w:rPr>
            </w:pPr>
          </w:p>
        </w:tc>
      </w:tr>
      <w:tr w:rsidR="00792D4B" w:rsidRPr="000B2036" w14:paraId="1CE0851C" w14:textId="77777777" w:rsidTr="505C20AD">
        <w:trPr>
          <w:trHeight w:val="2069"/>
        </w:trPr>
        <w:tc>
          <w:tcPr>
            <w:tcW w:w="2520" w:type="dxa"/>
          </w:tcPr>
          <w:p w14:paraId="502DCD97" w14:textId="215C7543" w:rsidR="00792D4B" w:rsidRDefault="00792D4B" w:rsidP="00792D4B">
            <w:pPr>
              <w:pStyle w:val="TableParagraph"/>
              <w:rPr>
                <w:rFonts w:asciiTheme="minorHAnsi" w:hAnsiTheme="minorHAnsi" w:cstheme="minorHAnsi"/>
                <w:sz w:val="20"/>
                <w:szCs w:val="20"/>
              </w:rPr>
            </w:pPr>
            <w:r>
              <w:rPr>
                <w:rFonts w:asciiTheme="minorHAnsi" w:hAnsiTheme="minorHAnsi" w:cstheme="minorHAnsi"/>
                <w:sz w:val="20"/>
                <w:szCs w:val="20"/>
              </w:rPr>
              <w:lastRenderedPageBreak/>
              <w:t>Ensure implementation of treatments is responsive to</w:t>
            </w:r>
            <w:r w:rsidRPr="00407627">
              <w:rPr>
                <w:rFonts w:asciiTheme="minorHAnsi" w:hAnsiTheme="minorHAnsi" w:cstheme="minorHAnsi"/>
                <w:sz w:val="20"/>
                <w:szCs w:val="20"/>
              </w:rPr>
              <w:t xml:space="preserve">… public input. </w:t>
            </w:r>
            <w:r w:rsidRPr="00407627">
              <w:rPr>
                <w:rFonts w:asciiTheme="minorHAnsi" w:hAnsiTheme="minorHAnsi" w:cstheme="minorHAnsi"/>
                <w:sz w:val="16"/>
                <w:szCs w:val="16"/>
              </w:rPr>
              <w:t>(FEIS Appe</w:t>
            </w:r>
            <w:r w:rsidRPr="00264E44">
              <w:rPr>
                <w:rFonts w:asciiTheme="minorHAnsi" w:hAnsiTheme="minorHAnsi" w:cstheme="minorHAnsi"/>
                <w:sz w:val="16"/>
                <w:szCs w:val="16"/>
              </w:rPr>
              <w:t>ndix E, Public Engagement in Adaptive Implementation, Goal p. 2)</w:t>
            </w:r>
          </w:p>
        </w:tc>
        <w:tc>
          <w:tcPr>
            <w:tcW w:w="1620" w:type="dxa"/>
          </w:tcPr>
          <w:p w14:paraId="0834F592" w14:textId="0C972320" w:rsidR="00792D4B" w:rsidRDefault="00792D4B" w:rsidP="00792D4B">
            <w:pPr>
              <w:pStyle w:val="TableParagraph"/>
              <w:rPr>
                <w:rFonts w:asciiTheme="minorHAnsi" w:hAnsiTheme="minorHAnsi" w:cstheme="minorHAnsi"/>
                <w:sz w:val="20"/>
                <w:szCs w:val="20"/>
              </w:rPr>
            </w:pPr>
            <w:r>
              <w:rPr>
                <w:rFonts w:asciiTheme="minorHAnsi" w:hAnsiTheme="minorHAnsi" w:cstheme="minorHAnsi"/>
                <w:sz w:val="20"/>
                <w:szCs w:val="20"/>
              </w:rPr>
              <w:t>Public comments from stakeholders &amp; GMUG response</w:t>
            </w:r>
          </w:p>
        </w:tc>
        <w:tc>
          <w:tcPr>
            <w:tcW w:w="6930" w:type="dxa"/>
          </w:tcPr>
          <w:p w14:paraId="30F1633F" w14:textId="36BCE10D" w:rsidR="00792D4B" w:rsidRPr="004617B7" w:rsidRDefault="00792D4B" w:rsidP="00792D4B">
            <w:pPr>
              <w:rPr>
                <w:rFonts w:asciiTheme="minorHAnsi" w:hAnsiTheme="minorHAnsi" w:cstheme="minorBidi"/>
                <w:sz w:val="20"/>
                <w:szCs w:val="20"/>
              </w:rPr>
            </w:pPr>
            <w:r w:rsidRPr="004617B7">
              <w:rPr>
                <w:rFonts w:asciiTheme="minorHAnsi" w:hAnsiTheme="minorHAnsi" w:cstheme="minorBidi"/>
                <w:sz w:val="20"/>
                <w:szCs w:val="20"/>
              </w:rPr>
              <w:t>The following represent the main themes of comments received during the 30-day comment period on out-year treatment plans presented at the 202</w:t>
            </w:r>
            <w:r w:rsidR="00514BD0">
              <w:rPr>
                <w:rFonts w:asciiTheme="minorHAnsi" w:hAnsiTheme="minorHAnsi" w:cstheme="minorBidi"/>
                <w:sz w:val="20"/>
                <w:szCs w:val="20"/>
              </w:rPr>
              <w:t>3</w:t>
            </w:r>
            <w:r w:rsidRPr="004617B7">
              <w:rPr>
                <w:rFonts w:asciiTheme="minorHAnsi" w:hAnsiTheme="minorHAnsi" w:cstheme="minorBidi"/>
                <w:sz w:val="20"/>
                <w:szCs w:val="20"/>
              </w:rPr>
              <w:t xml:space="preserve"> Annual Stakeholder meeting:</w:t>
            </w:r>
          </w:p>
          <w:p w14:paraId="72BDA21A" w14:textId="491706DD" w:rsidR="00792D4B" w:rsidRPr="00C17790" w:rsidRDefault="00792D4B" w:rsidP="00C17790">
            <w:pPr>
              <w:rPr>
                <w:rFonts w:asciiTheme="minorHAnsi" w:hAnsiTheme="minorHAnsi" w:cstheme="minorBidi"/>
                <w:i/>
                <w:iCs/>
                <w:sz w:val="20"/>
                <w:szCs w:val="20"/>
              </w:rPr>
            </w:pPr>
            <w:r w:rsidRPr="00C17790">
              <w:rPr>
                <w:rFonts w:asciiTheme="minorHAnsi" w:hAnsiTheme="minorHAnsi" w:cstheme="minorBidi"/>
                <w:sz w:val="20"/>
                <w:szCs w:val="20"/>
              </w:rPr>
              <w:t xml:space="preserve"> </w:t>
            </w:r>
          </w:p>
        </w:tc>
        <w:tc>
          <w:tcPr>
            <w:tcW w:w="2070" w:type="dxa"/>
          </w:tcPr>
          <w:p w14:paraId="5F6DE9C8" w14:textId="2E31276E" w:rsidR="00792D4B" w:rsidRPr="001B4776" w:rsidRDefault="001B4776" w:rsidP="00792D4B">
            <w:pPr>
              <w:pStyle w:val="TableParagraph"/>
              <w:rPr>
                <w:rFonts w:asciiTheme="minorHAnsi" w:hAnsiTheme="minorHAnsi" w:cstheme="minorHAnsi"/>
                <w:b/>
                <w:bCs/>
                <w:sz w:val="20"/>
                <w:szCs w:val="20"/>
              </w:rPr>
            </w:pPr>
            <w:r w:rsidRPr="001B4776">
              <w:rPr>
                <w:rFonts w:asciiTheme="minorHAnsi" w:hAnsiTheme="minorHAnsi" w:cstheme="minorHAnsi"/>
                <w:b/>
                <w:bCs/>
                <w:sz w:val="20"/>
                <w:szCs w:val="20"/>
                <w:highlight w:val="yellow"/>
              </w:rPr>
              <w:t>TBD</w:t>
            </w:r>
          </w:p>
          <w:p w14:paraId="7000A4E5" w14:textId="70EB1088" w:rsidR="00792D4B" w:rsidRDefault="00792D4B" w:rsidP="00792D4B">
            <w:pPr>
              <w:rPr>
                <w:rFonts w:asciiTheme="minorHAnsi" w:hAnsiTheme="minorHAnsi" w:cstheme="minorHAnsi"/>
                <w:sz w:val="20"/>
              </w:rPr>
            </w:pPr>
          </w:p>
        </w:tc>
        <w:tc>
          <w:tcPr>
            <w:tcW w:w="1980" w:type="dxa"/>
          </w:tcPr>
          <w:p w14:paraId="63C2E34B" w14:textId="78FB05F3" w:rsidR="00792D4B" w:rsidRPr="00BC730F" w:rsidRDefault="00792D4B" w:rsidP="00792D4B">
            <w:pPr>
              <w:pStyle w:val="TableParagraph"/>
              <w:rPr>
                <w:rFonts w:asciiTheme="minorHAnsi" w:hAnsiTheme="minorHAnsi" w:cstheme="minorHAnsi"/>
                <w:bCs/>
                <w:i/>
                <w:iCs/>
                <w:sz w:val="20"/>
                <w:szCs w:val="20"/>
              </w:rPr>
            </w:pPr>
          </w:p>
        </w:tc>
        <w:tc>
          <w:tcPr>
            <w:tcW w:w="3690" w:type="dxa"/>
          </w:tcPr>
          <w:p w14:paraId="4696A90F" w14:textId="6EF3C1F3" w:rsidR="00792D4B" w:rsidRPr="001B4776" w:rsidRDefault="001B4776" w:rsidP="00792D4B">
            <w:pPr>
              <w:pStyle w:val="TableParagraph"/>
              <w:rPr>
                <w:rFonts w:asciiTheme="minorHAnsi" w:hAnsiTheme="minorHAnsi" w:cstheme="minorHAnsi"/>
                <w:i/>
                <w:iCs/>
                <w:sz w:val="20"/>
                <w:szCs w:val="20"/>
              </w:rPr>
            </w:pPr>
            <w:r w:rsidRPr="001B4776">
              <w:rPr>
                <w:rFonts w:asciiTheme="minorHAnsi" w:hAnsiTheme="minorHAnsi" w:cstheme="minorHAnsi"/>
                <w:i/>
                <w:iCs/>
                <w:sz w:val="20"/>
                <w:szCs w:val="20"/>
              </w:rPr>
              <w:t>Story map publication delayed due to RO review – potentially address this via email?</w:t>
            </w:r>
          </w:p>
        </w:tc>
      </w:tr>
    </w:tbl>
    <w:p w14:paraId="467D41C9" w14:textId="030BF76E" w:rsidR="009103BF" w:rsidRDefault="009103BF">
      <w:pPr>
        <w:rPr>
          <w:b/>
          <w:bCs/>
          <w:i/>
          <w:sz w:val="24"/>
          <w:szCs w:val="24"/>
        </w:rPr>
      </w:pPr>
      <w:r>
        <w:br w:type="page"/>
      </w:r>
    </w:p>
    <w:p w14:paraId="34CB956D" w14:textId="0F759ABE" w:rsidR="00B27910" w:rsidRDefault="00B27910" w:rsidP="0059480E">
      <w:pPr>
        <w:pStyle w:val="Heading1"/>
        <w:jc w:val="center"/>
      </w:pPr>
      <w:bookmarkStart w:id="0" w:name="_Hlk99374375"/>
      <w:r w:rsidRPr="00DF2BB7">
        <w:lastRenderedPageBreak/>
        <w:t xml:space="preserve">Appendix </w:t>
      </w:r>
      <w:r w:rsidR="00BD0BDD" w:rsidRPr="00DF2BB7">
        <w:t>A</w:t>
      </w:r>
      <w:r w:rsidR="0059480E" w:rsidRPr="00DF2BB7">
        <w:t xml:space="preserve"> – HUC 12 Watersheds</w:t>
      </w:r>
      <w:r w:rsidR="00C264D0" w:rsidRPr="00DF2BB7">
        <w:t xml:space="preserve"> and Spruce-Fir</w:t>
      </w:r>
      <w:r w:rsidR="00DF2BB7">
        <w:t xml:space="preserve"> </w:t>
      </w:r>
      <w:r w:rsidR="00D65FF0">
        <w:t>Forest</w:t>
      </w:r>
    </w:p>
    <w:p w14:paraId="309C65C5" w14:textId="77777777" w:rsidR="0059480E" w:rsidRDefault="0059480E" w:rsidP="0059480E">
      <w:pPr>
        <w:pStyle w:val="Heading1"/>
        <w:jc w:val="center"/>
      </w:pPr>
    </w:p>
    <w:bookmarkEnd w:id="0"/>
    <w:p w14:paraId="1021C201" w14:textId="2CDA57FA" w:rsidR="00B27910" w:rsidRDefault="00B27910" w:rsidP="00B27910">
      <w:pPr>
        <w:pStyle w:val="BodyText"/>
        <w:rPr>
          <w:sz w:val="22"/>
          <w:szCs w:val="22"/>
        </w:rPr>
      </w:pPr>
      <w:r>
        <w:rPr>
          <w:sz w:val="22"/>
          <w:szCs w:val="22"/>
        </w:rPr>
        <w:t xml:space="preserve">Table </w:t>
      </w:r>
      <w:r w:rsidR="009D2AB9">
        <w:rPr>
          <w:sz w:val="22"/>
          <w:szCs w:val="22"/>
        </w:rPr>
        <w:t>2</w:t>
      </w:r>
      <w:r>
        <w:rPr>
          <w:sz w:val="22"/>
          <w:szCs w:val="22"/>
        </w:rPr>
        <w:t>. HUC12 Watersheds on the GMUG with 20% or less of Spruce-fir (Local Type = TSF) forest area in habitat structural stage 4A, 4B, or 4C</w:t>
      </w:r>
      <w:r w:rsidR="00A04098">
        <w:rPr>
          <w:sz w:val="22"/>
          <w:szCs w:val="22"/>
        </w:rPr>
        <w:t xml:space="preserve"> </w:t>
      </w:r>
    </w:p>
    <w:tbl>
      <w:tblPr>
        <w:tblW w:w="0" w:type="auto"/>
        <w:tblCellMar>
          <w:left w:w="115" w:type="dxa"/>
          <w:right w:w="115" w:type="dxa"/>
        </w:tblCellMar>
        <w:tblLook w:val="04A0" w:firstRow="1" w:lastRow="0" w:firstColumn="1" w:lastColumn="0" w:noHBand="0" w:noVBand="1"/>
      </w:tblPr>
      <w:tblGrid>
        <w:gridCol w:w="3961"/>
        <w:gridCol w:w="2920"/>
        <w:gridCol w:w="3040"/>
        <w:gridCol w:w="3106"/>
      </w:tblGrid>
      <w:tr w:rsidR="00356BEF" w:rsidRPr="00B27910" w14:paraId="250F8D43" w14:textId="77777777" w:rsidTr="00356BEF">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2EDCE" w14:textId="77777777" w:rsidR="00B27910" w:rsidRDefault="00B27910" w:rsidP="00B27910">
            <w:pPr>
              <w:widowControl/>
              <w:autoSpaceDE/>
              <w:autoSpaceDN/>
              <w:rPr>
                <w:rFonts w:eastAsia="Times New Roman" w:cs="Times New Roman"/>
                <w:b/>
                <w:bCs/>
                <w:color w:val="000000"/>
              </w:rPr>
            </w:pPr>
            <w:r w:rsidRPr="00B27910">
              <w:rPr>
                <w:rFonts w:eastAsia="Times New Roman" w:cs="Times New Roman"/>
                <w:b/>
                <w:bCs/>
                <w:color w:val="000000"/>
              </w:rPr>
              <w:t xml:space="preserve">HUC 12 Name </w:t>
            </w:r>
          </w:p>
          <w:p w14:paraId="585B83CC" w14:textId="69160D23" w:rsidR="00B27910" w:rsidRPr="00B27910" w:rsidRDefault="00B27910" w:rsidP="00B27910">
            <w:pPr>
              <w:widowControl/>
              <w:autoSpaceDE/>
              <w:autoSpaceDN/>
              <w:rPr>
                <w:rFonts w:eastAsia="Times New Roman" w:cs="Times New Roman"/>
                <w:b/>
                <w:bCs/>
                <w:color w:val="000000"/>
              </w:rPr>
            </w:pP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49DBFB28" w14:textId="77777777" w:rsidR="00B27910" w:rsidRPr="00B27910" w:rsidRDefault="00B27910" w:rsidP="00B27910">
            <w:pPr>
              <w:widowControl/>
              <w:autoSpaceDE/>
              <w:autoSpaceDN/>
              <w:rPr>
                <w:rFonts w:eastAsia="Times New Roman" w:cs="Times New Roman"/>
                <w:b/>
                <w:bCs/>
                <w:color w:val="000000"/>
              </w:rPr>
            </w:pPr>
            <w:r w:rsidRPr="00B27910">
              <w:rPr>
                <w:rFonts w:eastAsia="Times New Roman" w:cs="Times New Roman"/>
                <w:b/>
                <w:bCs/>
                <w:color w:val="000000"/>
              </w:rPr>
              <w:t xml:space="preserve"> Spruce-fir Total Acres (TSF)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173F0367" w14:textId="77777777" w:rsidR="00B27910" w:rsidRPr="00B27910" w:rsidRDefault="00B27910" w:rsidP="00B27910">
            <w:pPr>
              <w:widowControl/>
              <w:autoSpaceDE/>
              <w:autoSpaceDN/>
              <w:rPr>
                <w:rFonts w:eastAsia="Times New Roman" w:cs="Times New Roman"/>
                <w:b/>
                <w:bCs/>
                <w:color w:val="000000"/>
              </w:rPr>
            </w:pPr>
            <w:r w:rsidRPr="00B27910">
              <w:rPr>
                <w:rFonts w:eastAsia="Times New Roman" w:cs="Times New Roman"/>
                <w:b/>
                <w:bCs/>
                <w:color w:val="000000"/>
              </w:rPr>
              <w:t xml:space="preserve"> Spruce Fir Acres 4A/B/C (TSF)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724009" w14:textId="77777777" w:rsidR="00B27910" w:rsidRPr="00B27910" w:rsidRDefault="00B27910" w:rsidP="00B27910">
            <w:pPr>
              <w:widowControl/>
              <w:autoSpaceDE/>
              <w:autoSpaceDN/>
              <w:rPr>
                <w:rFonts w:eastAsia="Times New Roman" w:cs="Times New Roman"/>
                <w:b/>
                <w:bCs/>
                <w:color w:val="000000"/>
              </w:rPr>
            </w:pPr>
            <w:r w:rsidRPr="00B27910">
              <w:rPr>
                <w:rFonts w:eastAsia="Times New Roman" w:cs="Times New Roman"/>
                <w:b/>
                <w:bCs/>
                <w:color w:val="000000"/>
              </w:rPr>
              <w:t xml:space="preserve"> Percent of Spruce-fir in 4A/B/C </w:t>
            </w:r>
          </w:p>
        </w:tc>
      </w:tr>
      <w:tr w:rsidR="00B27910" w:rsidRPr="00B27910" w14:paraId="11A34C47"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AAFDB5" w14:textId="160D7596"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McKee Draw</w:t>
            </w:r>
          </w:p>
        </w:tc>
        <w:tc>
          <w:tcPr>
            <w:tcW w:w="2920" w:type="dxa"/>
            <w:tcBorders>
              <w:top w:val="nil"/>
              <w:left w:val="nil"/>
              <w:bottom w:val="single" w:sz="4" w:space="0" w:color="auto"/>
              <w:right w:val="single" w:sz="4" w:space="0" w:color="auto"/>
            </w:tcBorders>
            <w:shd w:val="clear" w:color="auto" w:fill="auto"/>
            <w:noWrap/>
            <w:vAlign w:val="bottom"/>
            <w:hideMark/>
          </w:tcPr>
          <w:p w14:paraId="1AD3F5B4" w14:textId="1D64B68A"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38 </w:t>
            </w:r>
          </w:p>
        </w:tc>
        <w:tc>
          <w:tcPr>
            <w:tcW w:w="3040" w:type="dxa"/>
            <w:tcBorders>
              <w:top w:val="nil"/>
              <w:left w:val="nil"/>
              <w:bottom w:val="single" w:sz="4" w:space="0" w:color="auto"/>
              <w:right w:val="single" w:sz="4" w:space="0" w:color="auto"/>
            </w:tcBorders>
            <w:shd w:val="clear" w:color="auto" w:fill="auto"/>
            <w:noWrap/>
            <w:vAlign w:val="bottom"/>
            <w:hideMark/>
          </w:tcPr>
          <w:p w14:paraId="5085B1E9" w14:textId="23DECC8D"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Pr>
                <w:rFonts w:eastAsia="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34072856"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0    </w:t>
            </w:r>
          </w:p>
        </w:tc>
      </w:tr>
      <w:tr w:rsidR="00B27910" w:rsidRPr="00B27910" w14:paraId="07DD6C78"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B1FBE3"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Calamity Creek</w:t>
            </w:r>
          </w:p>
        </w:tc>
        <w:tc>
          <w:tcPr>
            <w:tcW w:w="2920" w:type="dxa"/>
            <w:tcBorders>
              <w:top w:val="nil"/>
              <w:left w:val="nil"/>
              <w:bottom w:val="single" w:sz="4" w:space="0" w:color="auto"/>
              <w:right w:val="single" w:sz="4" w:space="0" w:color="auto"/>
            </w:tcBorders>
            <w:shd w:val="clear" w:color="auto" w:fill="auto"/>
            <w:noWrap/>
            <w:vAlign w:val="bottom"/>
            <w:hideMark/>
          </w:tcPr>
          <w:p w14:paraId="071900DF"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38 </w:t>
            </w:r>
          </w:p>
        </w:tc>
        <w:tc>
          <w:tcPr>
            <w:tcW w:w="3040" w:type="dxa"/>
            <w:tcBorders>
              <w:top w:val="nil"/>
              <w:left w:val="nil"/>
              <w:bottom w:val="single" w:sz="4" w:space="0" w:color="auto"/>
              <w:right w:val="single" w:sz="4" w:space="0" w:color="auto"/>
            </w:tcBorders>
            <w:shd w:val="clear" w:color="auto" w:fill="auto"/>
            <w:noWrap/>
            <w:vAlign w:val="bottom"/>
            <w:hideMark/>
          </w:tcPr>
          <w:p w14:paraId="65431079" w14:textId="5C3254C8"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Pr>
                <w:rFonts w:eastAsia="Times New Roman" w:cs="Times New Roman"/>
                <w:color w:val="000000"/>
              </w:rPr>
              <w:t>0</w:t>
            </w:r>
            <w:r w:rsidRPr="00B27910">
              <w:rPr>
                <w:rFonts w:eastAsia="Times New Roman" w:cs="Times New Roman"/>
                <w:color w:val="00000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58DBEB44" w14:textId="0ED58FF2"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Pr>
                <w:rFonts w:eastAsia="Times New Roman" w:cs="Times New Roman"/>
                <w:color w:val="000000"/>
              </w:rPr>
              <w:t>0</w:t>
            </w:r>
            <w:r w:rsidRPr="00B27910">
              <w:rPr>
                <w:rFonts w:eastAsia="Times New Roman" w:cs="Times New Roman"/>
                <w:color w:val="000000"/>
              </w:rPr>
              <w:t xml:space="preserve">  </w:t>
            </w:r>
          </w:p>
        </w:tc>
      </w:tr>
      <w:tr w:rsidR="00B27910" w:rsidRPr="00B27910" w14:paraId="4DE6F030"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96E620"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Blue Creek</w:t>
            </w:r>
          </w:p>
        </w:tc>
        <w:tc>
          <w:tcPr>
            <w:tcW w:w="2920" w:type="dxa"/>
            <w:tcBorders>
              <w:top w:val="nil"/>
              <w:left w:val="nil"/>
              <w:bottom w:val="single" w:sz="4" w:space="0" w:color="auto"/>
              <w:right w:val="single" w:sz="4" w:space="0" w:color="auto"/>
            </w:tcBorders>
            <w:shd w:val="clear" w:color="auto" w:fill="auto"/>
            <w:noWrap/>
            <w:vAlign w:val="bottom"/>
            <w:hideMark/>
          </w:tcPr>
          <w:p w14:paraId="3C072BBF"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354 </w:t>
            </w:r>
          </w:p>
        </w:tc>
        <w:tc>
          <w:tcPr>
            <w:tcW w:w="3040" w:type="dxa"/>
            <w:tcBorders>
              <w:top w:val="nil"/>
              <w:left w:val="nil"/>
              <w:bottom w:val="single" w:sz="4" w:space="0" w:color="auto"/>
              <w:right w:val="single" w:sz="4" w:space="0" w:color="auto"/>
            </w:tcBorders>
            <w:shd w:val="clear" w:color="auto" w:fill="auto"/>
            <w:noWrap/>
            <w:vAlign w:val="bottom"/>
            <w:hideMark/>
          </w:tcPr>
          <w:p w14:paraId="7A261B38" w14:textId="244A97B4"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Pr>
                <w:rFonts w:eastAsia="Times New Roman" w:cs="Times New Roman"/>
                <w:color w:val="000000"/>
              </w:rPr>
              <w:t>0</w:t>
            </w:r>
            <w:r w:rsidRPr="00B27910">
              <w:rPr>
                <w:rFonts w:eastAsia="Times New Roman" w:cs="Times New Roman"/>
                <w:color w:val="00000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22EF3592" w14:textId="19CB6C0A"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Pr>
                <w:rFonts w:eastAsia="Times New Roman" w:cs="Times New Roman"/>
                <w:color w:val="000000"/>
              </w:rPr>
              <w:t>0</w:t>
            </w:r>
            <w:r w:rsidRPr="00B27910">
              <w:rPr>
                <w:rFonts w:eastAsia="Times New Roman" w:cs="Times New Roman"/>
                <w:color w:val="000000"/>
              </w:rPr>
              <w:t xml:space="preserve">   </w:t>
            </w:r>
          </w:p>
        </w:tc>
      </w:tr>
      <w:tr w:rsidR="00B27910" w:rsidRPr="00B27910" w14:paraId="52C99AFA"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994C96"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Little Henderson Creek-East Muddy Creek</w:t>
            </w:r>
          </w:p>
        </w:tc>
        <w:tc>
          <w:tcPr>
            <w:tcW w:w="2920" w:type="dxa"/>
            <w:tcBorders>
              <w:top w:val="nil"/>
              <w:left w:val="nil"/>
              <w:bottom w:val="single" w:sz="4" w:space="0" w:color="auto"/>
              <w:right w:val="single" w:sz="4" w:space="0" w:color="auto"/>
            </w:tcBorders>
            <w:shd w:val="clear" w:color="auto" w:fill="auto"/>
            <w:noWrap/>
            <w:vAlign w:val="bottom"/>
            <w:hideMark/>
          </w:tcPr>
          <w:p w14:paraId="271BE698" w14:textId="581664E4"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sidR="00646437">
              <w:rPr>
                <w:rFonts w:eastAsia="Times New Roman" w:cs="Times New Roman"/>
                <w:color w:val="000000"/>
              </w:rPr>
              <w:t>3,144</w:t>
            </w:r>
            <w:r w:rsidRPr="00B27910">
              <w:rPr>
                <w:rFonts w:eastAsia="Times New Roman" w:cs="Times New Roman"/>
                <w:color w:val="000000"/>
              </w:rPr>
              <w:t xml:space="preserve"> </w:t>
            </w:r>
          </w:p>
        </w:tc>
        <w:tc>
          <w:tcPr>
            <w:tcW w:w="3040" w:type="dxa"/>
            <w:tcBorders>
              <w:top w:val="nil"/>
              <w:left w:val="nil"/>
              <w:bottom w:val="single" w:sz="4" w:space="0" w:color="auto"/>
              <w:right w:val="single" w:sz="4" w:space="0" w:color="auto"/>
            </w:tcBorders>
            <w:shd w:val="clear" w:color="auto" w:fill="auto"/>
            <w:noWrap/>
            <w:vAlign w:val="bottom"/>
            <w:hideMark/>
          </w:tcPr>
          <w:p w14:paraId="746A0F5C"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4 </w:t>
            </w:r>
          </w:p>
        </w:tc>
        <w:tc>
          <w:tcPr>
            <w:tcW w:w="0" w:type="auto"/>
            <w:tcBorders>
              <w:top w:val="nil"/>
              <w:left w:val="nil"/>
              <w:bottom w:val="single" w:sz="4" w:space="0" w:color="auto"/>
              <w:right w:val="single" w:sz="4" w:space="0" w:color="auto"/>
            </w:tcBorders>
            <w:shd w:val="clear" w:color="auto" w:fill="auto"/>
            <w:noWrap/>
            <w:vAlign w:val="bottom"/>
            <w:hideMark/>
          </w:tcPr>
          <w:p w14:paraId="23DC3AD4" w14:textId="213699D1"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Pr>
                <w:rFonts w:eastAsia="Times New Roman" w:cs="Times New Roman"/>
                <w:color w:val="000000"/>
              </w:rPr>
              <w:t>&lt;1</w:t>
            </w:r>
          </w:p>
        </w:tc>
      </w:tr>
      <w:tr w:rsidR="00B27910" w:rsidRPr="00B27910" w14:paraId="5B2B3312"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4B38FF"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Wells Gulch-Gunnison River</w:t>
            </w:r>
          </w:p>
        </w:tc>
        <w:tc>
          <w:tcPr>
            <w:tcW w:w="2920" w:type="dxa"/>
            <w:tcBorders>
              <w:top w:val="nil"/>
              <w:left w:val="nil"/>
              <w:bottom w:val="single" w:sz="4" w:space="0" w:color="auto"/>
              <w:right w:val="single" w:sz="4" w:space="0" w:color="auto"/>
            </w:tcBorders>
            <w:shd w:val="clear" w:color="auto" w:fill="auto"/>
            <w:noWrap/>
            <w:vAlign w:val="bottom"/>
            <w:hideMark/>
          </w:tcPr>
          <w:p w14:paraId="2FD64FC0"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112 </w:t>
            </w:r>
          </w:p>
        </w:tc>
        <w:tc>
          <w:tcPr>
            <w:tcW w:w="3040" w:type="dxa"/>
            <w:tcBorders>
              <w:top w:val="nil"/>
              <w:left w:val="nil"/>
              <w:bottom w:val="single" w:sz="4" w:space="0" w:color="auto"/>
              <w:right w:val="single" w:sz="4" w:space="0" w:color="auto"/>
            </w:tcBorders>
            <w:shd w:val="clear" w:color="auto" w:fill="auto"/>
            <w:noWrap/>
            <w:vAlign w:val="bottom"/>
            <w:hideMark/>
          </w:tcPr>
          <w:p w14:paraId="4BBE4CAB"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0 </w:t>
            </w:r>
          </w:p>
        </w:tc>
        <w:tc>
          <w:tcPr>
            <w:tcW w:w="0" w:type="auto"/>
            <w:tcBorders>
              <w:top w:val="nil"/>
              <w:left w:val="nil"/>
              <w:bottom w:val="single" w:sz="4" w:space="0" w:color="auto"/>
              <w:right w:val="single" w:sz="4" w:space="0" w:color="auto"/>
            </w:tcBorders>
            <w:shd w:val="clear" w:color="auto" w:fill="auto"/>
            <w:noWrap/>
            <w:vAlign w:val="bottom"/>
            <w:hideMark/>
          </w:tcPr>
          <w:p w14:paraId="5E9026BE"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0 </w:t>
            </w:r>
          </w:p>
        </w:tc>
      </w:tr>
      <w:tr w:rsidR="00B27910" w:rsidRPr="00B27910" w14:paraId="1CB32FDF"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531088"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Texas Creek</w:t>
            </w:r>
          </w:p>
        </w:tc>
        <w:tc>
          <w:tcPr>
            <w:tcW w:w="2920" w:type="dxa"/>
            <w:tcBorders>
              <w:top w:val="nil"/>
              <w:left w:val="nil"/>
              <w:bottom w:val="single" w:sz="4" w:space="0" w:color="auto"/>
              <w:right w:val="single" w:sz="4" w:space="0" w:color="auto"/>
            </w:tcBorders>
            <w:shd w:val="clear" w:color="auto" w:fill="auto"/>
            <w:noWrap/>
            <w:vAlign w:val="bottom"/>
            <w:hideMark/>
          </w:tcPr>
          <w:p w14:paraId="44AE06D3"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5,538 </w:t>
            </w:r>
          </w:p>
        </w:tc>
        <w:tc>
          <w:tcPr>
            <w:tcW w:w="3040" w:type="dxa"/>
            <w:tcBorders>
              <w:top w:val="nil"/>
              <w:left w:val="nil"/>
              <w:bottom w:val="single" w:sz="4" w:space="0" w:color="auto"/>
              <w:right w:val="single" w:sz="4" w:space="0" w:color="auto"/>
            </w:tcBorders>
            <w:shd w:val="clear" w:color="auto" w:fill="auto"/>
            <w:noWrap/>
            <w:vAlign w:val="bottom"/>
            <w:hideMark/>
          </w:tcPr>
          <w:p w14:paraId="6348A930"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362 </w:t>
            </w:r>
          </w:p>
        </w:tc>
        <w:tc>
          <w:tcPr>
            <w:tcW w:w="0" w:type="auto"/>
            <w:tcBorders>
              <w:top w:val="nil"/>
              <w:left w:val="nil"/>
              <w:bottom w:val="single" w:sz="4" w:space="0" w:color="auto"/>
              <w:right w:val="single" w:sz="4" w:space="0" w:color="auto"/>
            </w:tcBorders>
            <w:shd w:val="clear" w:color="auto" w:fill="auto"/>
            <w:noWrap/>
            <w:vAlign w:val="bottom"/>
            <w:hideMark/>
          </w:tcPr>
          <w:p w14:paraId="758F7CC9"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7 </w:t>
            </w:r>
          </w:p>
        </w:tc>
      </w:tr>
      <w:tr w:rsidR="00B27910" w:rsidRPr="00B27910" w14:paraId="6C1BE057"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403370"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Outlet Cochetopa Creek</w:t>
            </w:r>
          </w:p>
        </w:tc>
        <w:tc>
          <w:tcPr>
            <w:tcW w:w="2920" w:type="dxa"/>
            <w:tcBorders>
              <w:top w:val="nil"/>
              <w:left w:val="nil"/>
              <w:bottom w:val="single" w:sz="4" w:space="0" w:color="auto"/>
              <w:right w:val="single" w:sz="4" w:space="0" w:color="auto"/>
            </w:tcBorders>
            <w:shd w:val="clear" w:color="auto" w:fill="auto"/>
            <w:noWrap/>
            <w:vAlign w:val="bottom"/>
            <w:hideMark/>
          </w:tcPr>
          <w:p w14:paraId="370216B8" w14:textId="6E296015" w:rsidR="00B27910" w:rsidRPr="00B27910" w:rsidRDefault="00646437" w:rsidP="00356BEF">
            <w:pPr>
              <w:widowControl/>
              <w:autoSpaceDE/>
              <w:autoSpaceDN/>
              <w:jc w:val="right"/>
              <w:rPr>
                <w:rFonts w:eastAsia="Times New Roman" w:cs="Times New Roman"/>
                <w:color w:val="000000"/>
              </w:rPr>
            </w:pPr>
            <w:r>
              <w:rPr>
                <w:rFonts w:eastAsia="Times New Roman" w:cs="Times New Roman"/>
                <w:color w:val="000000"/>
              </w:rPr>
              <w:t>137</w:t>
            </w:r>
          </w:p>
        </w:tc>
        <w:tc>
          <w:tcPr>
            <w:tcW w:w="3040" w:type="dxa"/>
            <w:tcBorders>
              <w:top w:val="nil"/>
              <w:left w:val="nil"/>
              <w:bottom w:val="single" w:sz="4" w:space="0" w:color="auto"/>
              <w:right w:val="single" w:sz="4" w:space="0" w:color="auto"/>
            </w:tcBorders>
            <w:shd w:val="clear" w:color="auto" w:fill="auto"/>
            <w:noWrap/>
            <w:vAlign w:val="bottom"/>
            <w:hideMark/>
          </w:tcPr>
          <w:p w14:paraId="662E722C"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13 </w:t>
            </w:r>
          </w:p>
        </w:tc>
        <w:tc>
          <w:tcPr>
            <w:tcW w:w="0" w:type="auto"/>
            <w:tcBorders>
              <w:top w:val="nil"/>
              <w:left w:val="nil"/>
              <w:bottom w:val="single" w:sz="4" w:space="0" w:color="auto"/>
              <w:right w:val="single" w:sz="4" w:space="0" w:color="auto"/>
            </w:tcBorders>
            <w:shd w:val="clear" w:color="auto" w:fill="auto"/>
            <w:noWrap/>
            <w:vAlign w:val="bottom"/>
            <w:hideMark/>
          </w:tcPr>
          <w:p w14:paraId="1EDF0051" w14:textId="4457FCFD"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sidR="00646437">
              <w:rPr>
                <w:rFonts w:eastAsia="Times New Roman" w:cs="Times New Roman"/>
                <w:color w:val="000000"/>
              </w:rPr>
              <w:t>10</w:t>
            </w:r>
            <w:r w:rsidRPr="00B27910">
              <w:rPr>
                <w:rFonts w:eastAsia="Times New Roman" w:cs="Times New Roman"/>
                <w:color w:val="000000"/>
              </w:rPr>
              <w:t xml:space="preserve"> </w:t>
            </w:r>
          </w:p>
        </w:tc>
      </w:tr>
      <w:tr w:rsidR="00B27910" w:rsidRPr="00B27910" w14:paraId="3F4A7B12"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7A5D4C"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Long Branch Creek</w:t>
            </w:r>
          </w:p>
        </w:tc>
        <w:tc>
          <w:tcPr>
            <w:tcW w:w="2920" w:type="dxa"/>
            <w:tcBorders>
              <w:top w:val="nil"/>
              <w:left w:val="nil"/>
              <w:bottom w:val="single" w:sz="4" w:space="0" w:color="auto"/>
              <w:right w:val="single" w:sz="4" w:space="0" w:color="auto"/>
            </w:tcBorders>
            <w:shd w:val="clear" w:color="auto" w:fill="auto"/>
            <w:noWrap/>
            <w:vAlign w:val="bottom"/>
            <w:hideMark/>
          </w:tcPr>
          <w:p w14:paraId="6559F177" w14:textId="7E915D62"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sidR="00646437">
              <w:rPr>
                <w:rFonts w:eastAsia="Times New Roman" w:cs="Times New Roman"/>
                <w:color w:val="000000"/>
              </w:rPr>
              <w:t>196</w:t>
            </w:r>
            <w:r w:rsidR="00646437" w:rsidRPr="00B27910">
              <w:rPr>
                <w:rFonts w:eastAsia="Times New Roman" w:cs="Times New Roman"/>
                <w:color w:val="000000"/>
              </w:rPr>
              <w:t xml:space="preserve"> </w:t>
            </w:r>
          </w:p>
        </w:tc>
        <w:tc>
          <w:tcPr>
            <w:tcW w:w="3040" w:type="dxa"/>
            <w:tcBorders>
              <w:top w:val="nil"/>
              <w:left w:val="nil"/>
              <w:bottom w:val="single" w:sz="4" w:space="0" w:color="auto"/>
              <w:right w:val="single" w:sz="4" w:space="0" w:color="auto"/>
            </w:tcBorders>
            <w:shd w:val="clear" w:color="auto" w:fill="auto"/>
            <w:noWrap/>
            <w:vAlign w:val="bottom"/>
            <w:hideMark/>
          </w:tcPr>
          <w:p w14:paraId="46915FA9"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30 </w:t>
            </w:r>
          </w:p>
        </w:tc>
        <w:tc>
          <w:tcPr>
            <w:tcW w:w="0" w:type="auto"/>
            <w:tcBorders>
              <w:top w:val="nil"/>
              <w:left w:val="nil"/>
              <w:bottom w:val="single" w:sz="4" w:space="0" w:color="auto"/>
              <w:right w:val="single" w:sz="4" w:space="0" w:color="auto"/>
            </w:tcBorders>
            <w:shd w:val="clear" w:color="auto" w:fill="auto"/>
            <w:noWrap/>
            <w:vAlign w:val="bottom"/>
            <w:hideMark/>
          </w:tcPr>
          <w:p w14:paraId="520FB2C8" w14:textId="29B872E3"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sidR="00646437">
              <w:rPr>
                <w:rFonts w:eastAsia="Times New Roman" w:cs="Times New Roman"/>
                <w:color w:val="000000"/>
              </w:rPr>
              <w:t>15</w:t>
            </w:r>
            <w:r w:rsidR="00646437" w:rsidRPr="00B27910">
              <w:rPr>
                <w:rFonts w:eastAsia="Times New Roman" w:cs="Times New Roman"/>
                <w:color w:val="000000"/>
              </w:rPr>
              <w:t xml:space="preserve"> </w:t>
            </w:r>
          </w:p>
        </w:tc>
      </w:tr>
      <w:tr w:rsidR="00B27910" w:rsidRPr="00B27910" w14:paraId="5896242D"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11DCA"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North Lobe Creek-West Creek</w:t>
            </w:r>
          </w:p>
        </w:tc>
        <w:tc>
          <w:tcPr>
            <w:tcW w:w="2920" w:type="dxa"/>
            <w:tcBorders>
              <w:top w:val="nil"/>
              <w:left w:val="nil"/>
              <w:bottom w:val="single" w:sz="4" w:space="0" w:color="auto"/>
              <w:right w:val="single" w:sz="4" w:space="0" w:color="auto"/>
            </w:tcBorders>
            <w:shd w:val="clear" w:color="auto" w:fill="auto"/>
            <w:noWrap/>
            <w:vAlign w:val="bottom"/>
            <w:hideMark/>
          </w:tcPr>
          <w:p w14:paraId="0BD09F29"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47 </w:t>
            </w:r>
          </w:p>
        </w:tc>
        <w:tc>
          <w:tcPr>
            <w:tcW w:w="3040" w:type="dxa"/>
            <w:tcBorders>
              <w:top w:val="nil"/>
              <w:left w:val="nil"/>
              <w:bottom w:val="single" w:sz="4" w:space="0" w:color="auto"/>
              <w:right w:val="single" w:sz="4" w:space="0" w:color="auto"/>
            </w:tcBorders>
            <w:shd w:val="clear" w:color="auto" w:fill="auto"/>
            <w:noWrap/>
            <w:vAlign w:val="bottom"/>
            <w:hideMark/>
          </w:tcPr>
          <w:p w14:paraId="5D769407"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8 </w:t>
            </w:r>
          </w:p>
        </w:tc>
        <w:tc>
          <w:tcPr>
            <w:tcW w:w="0" w:type="auto"/>
            <w:tcBorders>
              <w:top w:val="nil"/>
              <w:left w:val="nil"/>
              <w:bottom w:val="single" w:sz="4" w:space="0" w:color="auto"/>
              <w:right w:val="single" w:sz="4" w:space="0" w:color="auto"/>
            </w:tcBorders>
            <w:shd w:val="clear" w:color="auto" w:fill="auto"/>
            <w:noWrap/>
            <w:vAlign w:val="bottom"/>
            <w:hideMark/>
          </w:tcPr>
          <w:p w14:paraId="2919A9DC"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17 </w:t>
            </w:r>
          </w:p>
        </w:tc>
      </w:tr>
      <w:tr w:rsidR="00B27910" w:rsidRPr="00B27910" w14:paraId="491D0ABC"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F6C896"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Deer Creek</w:t>
            </w:r>
          </w:p>
        </w:tc>
        <w:tc>
          <w:tcPr>
            <w:tcW w:w="2920" w:type="dxa"/>
            <w:tcBorders>
              <w:top w:val="nil"/>
              <w:left w:val="nil"/>
              <w:bottom w:val="single" w:sz="4" w:space="0" w:color="auto"/>
              <w:right w:val="single" w:sz="4" w:space="0" w:color="auto"/>
            </w:tcBorders>
            <w:shd w:val="clear" w:color="auto" w:fill="auto"/>
            <w:noWrap/>
            <w:vAlign w:val="bottom"/>
            <w:hideMark/>
          </w:tcPr>
          <w:p w14:paraId="2079EE19"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113 </w:t>
            </w:r>
          </w:p>
        </w:tc>
        <w:tc>
          <w:tcPr>
            <w:tcW w:w="3040" w:type="dxa"/>
            <w:tcBorders>
              <w:top w:val="nil"/>
              <w:left w:val="nil"/>
              <w:bottom w:val="single" w:sz="4" w:space="0" w:color="auto"/>
              <w:right w:val="single" w:sz="4" w:space="0" w:color="auto"/>
            </w:tcBorders>
            <w:shd w:val="clear" w:color="auto" w:fill="auto"/>
            <w:noWrap/>
            <w:vAlign w:val="bottom"/>
            <w:hideMark/>
          </w:tcPr>
          <w:p w14:paraId="00AFF320"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23 </w:t>
            </w:r>
          </w:p>
        </w:tc>
        <w:tc>
          <w:tcPr>
            <w:tcW w:w="0" w:type="auto"/>
            <w:tcBorders>
              <w:top w:val="nil"/>
              <w:left w:val="nil"/>
              <w:bottom w:val="single" w:sz="4" w:space="0" w:color="auto"/>
              <w:right w:val="single" w:sz="4" w:space="0" w:color="auto"/>
            </w:tcBorders>
            <w:shd w:val="clear" w:color="auto" w:fill="auto"/>
            <w:noWrap/>
            <w:vAlign w:val="bottom"/>
            <w:hideMark/>
          </w:tcPr>
          <w:p w14:paraId="790ED562"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20 </w:t>
            </w:r>
          </w:p>
        </w:tc>
      </w:tr>
    </w:tbl>
    <w:p w14:paraId="64889AA8" w14:textId="596526E2" w:rsidR="00B27910" w:rsidRPr="00A817A2" w:rsidRDefault="00BC5033" w:rsidP="00B27910">
      <w:pPr>
        <w:pStyle w:val="BodyText"/>
        <w:rPr>
          <w:i/>
          <w:iCs/>
          <w:sz w:val="22"/>
          <w:szCs w:val="22"/>
        </w:rPr>
      </w:pPr>
      <w:r w:rsidRPr="00A817A2">
        <w:rPr>
          <w:i/>
          <w:iCs/>
          <w:sz w:val="22"/>
          <w:szCs w:val="22"/>
        </w:rPr>
        <w:t xml:space="preserve"> </w:t>
      </w:r>
    </w:p>
    <w:p w14:paraId="0BA9AF0B" w14:textId="2C5F72F7" w:rsidR="00AB7310" w:rsidRDefault="00AB7310">
      <w:pPr>
        <w:rPr>
          <w:b/>
          <w:bCs/>
          <w:i/>
          <w:sz w:val="24"/>
          <w:szCs w:val="24"/>
        </w:rPr>
      </w:pPr>
      <w:r>
        <w:br w:type="page"/>
      </w:r>
    </w:p>
    <w:p w14:paraId="296C7A5C" w14:textId="77777777" w:rsidR="0059480E" w:rsidRDefault="0059480E" w:rsidP="00B27910">
      <w:pPr>
        <w:pStyle w:val="BodyText"/>
        <w:rPr>
          <w:sz w:val="22"/>
          <w:szCs w:val="22"/>
        </w:rPr>
      </w:pPr>
    </w:p>
    <w:p w14:paraId="09C20A85" w14:textId="75119EB9" w:rsidR="006A147A" w:rsidRDefault="0059480E" w:rsidP="009C25A7">
      <w:pPr>
        <w:pStyle w:val="BodyText"/>
        <w:jc w:val="center"/>
        <w:rPr>
          <w:b/>
          <w:bCs/>
          <w:i/>
          <w:iCs/>
        </w:rPr>
      </w:pPr>
      <w:r w:rsidRPr="009C25A7">
        <w:rPr>
          <w:b/>
          <w:bCs/>
          <w:i/>
          <w:iCs/>
        </w:rPr>
        <w:t xml:space="preserve">Appendix </w:t>
      </w:r>
      <w:r w:rsidR="003B50C0">
        <w:rPr>
          <w:b/>
          <w:bCs/>
          <w:i/>
          <w:iCs/>
        </w:rPr>
        <w:t>B</w:t>
      </w:r>
      <w:r w:rsidRPr="009C25A7">
        <w:rPr>
          <w:b/>
          <w:bCs/>
          <w:i/>
          <w:iCs/>
        </w:rPr>
        <w:t xml:space="preserve"> – Lynx Habitat Status by Lynx Analysis Unit</w:t>
      </w:r>
    </w:p>
    <w:p w14:paraId="0B429F99" w14:textId="0C8AF6E7" w:rsidR="00352F9E" w:rsidRDefault="00352F9E" w:rsidP="00352F9E">
      <w:pPr>
        <w:pStyle w:val="BodyText"/>
        <w:rPr>
          <w:b/>
          <w:bCs/>
          <w:color w:val="000000"/>
          <w:sz w:val="22"/>
          <w:szCs w:val="22"/>
        </w:rPr>
      </w:pPr>
      <w:r w:rsidRPr="00352F9E">
        <w:rPr>
          <w:b/>
          <w:bCs/>
          <w:i/>
          <w:iCs/>
          <w:sz w:val="22"/>
          <w:szCs w:val="22"/>
        </w:rPr>
        <w:t xml:space="preserve">Table </w:t>
      </w:r>
      <w:r w:rsidR="007E7766">
        <w:rPr>
          <w:b/>
          <w:bCs/>
          <w:i/>
          <w:iCs/>
          <w:sz w:val="22"/>
          <w:szCs w:val="22"/>
        </w:rPr>
        <w:t>3</w:t>
      </w:r>
      <w:r w:rsidRPr="00352F9E">
        <w:rPr>
          <w:b/>
          <w:bCs/>
          <w:i/>
          <w:iCs/>
          <w:sz w:val="22"/>
          <w:szCs w:val="22"/>
        </w:rPr>
        <w:t>.</w:t>
      </w:r>
      <w:r>
        <w:rPr>
          <w:b/>
          <w:bCs/>
          <w:i/>
          <w:iCs/>
        </w:rPr>
        <w:t xml:space="preserve"> </w:t>
      </w:r>
      <w:r>
        <w:rPr>
          <w:b/>
          <w:bCs/>
          <w:color w:val="000000"/>
          <w:sz w:val="22"/>
          <w:szCs w:val="22"/>
        </w:rPr>
        <w:t>Lynx Analysis Unit Habitat Tracking from 199</w:t>
      </w:r>
      <w:r w:rsidR="00007A36">
        <w:rPr>
          <w:b/>
          <w:bCs/>
          <w:color w:val="000000"/>
          <w:sz w:val="22"/>
          <w:szCs w:val="22"/>
        </w:rPr>
        <w:t>7</w:t>
      </w:r>
      <w:r>
        <w:rPr>
          <w:b/>
          <w:bCs/>
          <w:color w:val="000000"/>
          <w:sz w:val="22"/>
          <w:szCs w:val="22"/>
        </w:rPr>
        <w:t xml:space="preserve"> </w:t>
      </w:r>
      <w:r w:rsidR="00007A36">
        <w:rPr>
          <w:b/>
          <w:bCs/>
          <w:color w:val="000000"/>
          <w:sz w:val="22"/>
          <w:szCs w:val="22"/>
        </w:rPr>
        <w:t>–</w:t>
      </w:r>
      <w:r>
        <w:rPr>
          <w:b/>
          <w:bCs/>
          <w:color w:val="000000"/>
          <w:sz w:val="22"/>
          <w:szCs w:val="22"/>
        </w:rPr>
        <w:t xml:space="preserve"> </w:t>
      </w:r>
      <w:proofErr w:type="gramStart"/>
      <w:r>
        <w:rPr>
          <w:b/>
          <w:bCs/>
          <w:color w:val="000000"/>
          <w:sz w:val="22"/>
          <w:szCs w:val="22"/>
        </w:rPr>
        <w:t>202</w:t>
      </w:r>
      <w:r w:rsidR="00007A36">
        <w:rPr>
          <w:b/>
          <w:bCs/>
          <w:color w:val="000000"/>
          <w:sz w:val="22"/>
          <w:szCs w:val="22"/>
        </w:rPr>
        <w:t>2</w:t>
      </w:r>
      <w:proofErr w:type="gramEnd"/>
    </w:p>
    <w:tbl>
      <w:tblPr>
        <w:tblStyle w:val="PlainTable1"/>
        <w:tblW w:w="16420" w:type="dxa"/>
        <w:tblLook w:val="04A0" w:firstRow="1" w:lastRow="0" w:firstColumn="1" w:lastColumn="0" w:noHBand="0" w:noVBand="1"/>
      </w:tblPr>
      <w:tblGrid>
        <w:gridCol w:w="2320"/>
        <w:gridCol w:w="1580"/>
        <w:gridCol w:w="1900"/>
        <w:gridCol w:w="1960"/>
        <w:gridCol w:w="2120"/>
        <w:gridCol w:w="1900"/>
        <w:gridCol w:w="1820"/>
        <w:gridCol w:w="2820"/>
      </w:tblGrid>
      <w:tr w:rsidR="00007A36" w:rsidRPr="00007A36" w14:paraId="23580592" w14:textId="77777777" w:rsidTr="00007A36">
        <w:trPr>
          <w:cnfStyle w:val="100000000000" w:firstRow="1" w:lastRow="0" w:firstColumn="0" w:lastColumn="0" w:oddVBand="0" w:evenVBand="0" w:oddHBand="0"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320" w:type="dxa"/>
            <w:shd w:val="clear" w:color="auto" w:fill="D9D9D9" w:themeFill="background1" w:themeFillShade="D9"/>
            <w:hideMark/>
          </w:tcPr>
          <w:p w14:paraId="0ACCB630"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Lynx Analysis Unit</w:t>
            </w:r>
          </w:p>
        </w:tc>
        <w:tc>
          <w:tcPr>
            <w:tcW w:w="1580" w:type="dxa"/>
            <w:shd w:val="clear" w:color="auto" w:fill="D9D9D9" w:themeFill="background1" w:themeFillShade="D9"/>
            <w:hideMark/>
          </w:tcPr>
          <w:p w14:paraId="6A75FFEA" w14:textId="77777777" w:rsidR="00007A36" w:rsidRPr="00007A36" w:rsidRDefault="00007A36" w:rsidP="00007A36">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Lynx Habitat Acres</w:t>
            </w:r>
          </w:p>
        </w:tc>
        <w:tc>
          <w:tcPr>
            <w:tcW w:w="1900" w:type="dxa"/>
            <w:shd w:val="clear" w:color="auto" w:fill="D9D9D9" w:themeFill="background1" w:themeFillShade="D9"/>
            <w:hideMark/>
          </w:tcPr>
          <w:p w14:paraId="4BE7A1DA" w14:textId="77777777" w:rsidR="00007A36" w:rsidRPr="00007A36" w:rsidRDefault="00007A36" w:rsidP="00007A36">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Lynx habitat affected from harvests 1997-2022</w:t>
            </w:r>
          </w:p>
        </w:tc>
        <w:tc>
          <w:tcPr>
            <w:tcW w:w="1960" w:type="dxa"/>
            <w:shd w:val="clear" w:color="auto" w:fill="D9D9D9" w:themeFill="background1" w:themeFillShade="D9"/>
            <w:hideMark/>
          </w:tcPr>
          <w:p w14:paraId="10390CFA" w14:textId="77777777" w:rsidR="00007A36" w:rsidRPr="00007A36" w:rsidRDefault="00007A36" w:rsidP="00007A36">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Lynx habitat converted to unsuitable from harvests 1997-2022</w:t>
            </w:r>
          </w:p>
        </w:tc>
        <w:tc>
          <w:tcPr>
            <w:tcW w:w="2120" w:type="dxa"/>
            <w:shd w:val="clear" w:color="auto" w:fill="D9D9D9" w:themeFill="background1" w:themeFillShade="D9"/>
            <w:hideMark/>
          </w:tcPr>
          <w:p w14:paraId="77B3920F" w14:textId="77777777" w:rsidR="00007A36" w:rsidRPr="00007A36" w:rsidRDefault="00007A36" w:rsidP="00007A36">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Total Unsuitable Lynx Habitat (vegetation management and natural disturbance)</w:t>
            </w:r>
          </w:p>
        </w:tc>
        <w:tc>
          <w:tcPr>
            <w:tcW w:w="1900" w:type="dxa"/>
            <w:shd w:val="clear" w:color="auto" w:fill="D9D9D9" w:themeFill="background1" w:themeFillShade="D9"/>
            <w:hideMark/>
          </w:tcPr>
          <w:p w14:paraId="3EF72EFA" w14:textId="77777777" w:rsidR="00007A36" w:rsidRPr="00007A36" w:rsidRDefault="00007A36" w:rsidP="00007A36">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Percent of lynx habitat affected from harvests</w:t>
            </w:r>
          </w:p>
        </w:tc>
        <w:tc>
          <w:tcPr>
            <w:tcW w:w="1820" w:type="dxa"/>
            <w:shd w:val="clear" w:color="auto" w:fill="D9D9D9" w:themeFill="background1" w:themeFillShade="D9"/>
            <w:hideMark/>
          </w:tcPr>
          <w:p w14:paraId="2BD20B75" w14:textId="77777777" w:rsidR="00007A36" w:rsidRPr="00007A36" w:rsidRDefault="00007A36" w:rsidP="00007A36">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Percent of lynx habitat converted to unsuitable from harvest</w:t>
            </w:r>
          </w:p>
        </w:tc>
        <w:tc>
          <w:tcPr>
            <w:tcW w:w="2820" w:type="dxa"/>
            <w:shd w:val="clear" w:color="auto" w:fill="D9D9D9" w:themeFill="background1" w:themeFillShade="D9"/>
            <w:hideMark/>
          </w:tcPr>
          <w:p w14:paraId="340E4ACA" w14:textId="77777777" w:rsidR="00007A36" w:rsidRPr="00007A36" w:rsidRDefault="00007A36" w:rsidP="00007A36">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 xml:space="preserve">Total Percent Unsuitable </w:t>
            </w:r>
          </w:p>
        </w:tc>
      </w:tr>
      <w:tr w:rsidR="00007A36" w:rsidRPr="00007A36" w14:paraId="3E050F74"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02DA71E2"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Alpine</w:t>
            </w:r>
          </w:p>
        </w:tc>
        <w:tc>
          <w:tcPr>
            <w:tcW w:w="1580" w:type="dxa"/>
            <w:noWrap/>
            <w:hideMark/>
          </w:tcPr>
          <w:p w14:paraId="114F954A"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33,843</w:t>
            </w:r>
          </w:p>
        </w:tc>
        <w:tc>
          <w:tcPr>
            <w:tcW w:w="1900" w:type="dxa"/>
            <w:noWrap/>
            <w:hideMark/>
          </w:tcPr>
          <w:p w14:paraId="351EF57A"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1,727</w:t>
            </w:r>
          </w:p>
        </w:tc>
        <w:tc>
          <w:tcPr>
            <w:tcW w:w="1960" w:type="dxa"/>
            <w:noWrap/>
            <w:hideMark/>
          </w:tcPr>
          <w:p w14:paraId="7FBC1FA2"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372</w:t>
            </w:r>
          </w:p>
        </w:tc>
        <w:tc>
          <w:tcPr>
            <w:tcW w:w="2120" w:type="dxa"/>
            <w:noWrap/>
            <w:hideMark/>
          </w:tcPr>
          <w:p w14:paraId="6F1693A4"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1,903</w:t>
            </w:r>
          </w:p>
        </w:tc>
        <w:tc>
          <w:tcPr>
            <w:tcW w:w="1900" w:type="dxa"/>
            <w:noWrap/>
            <w:hideMark/>
          </w:tcPr>
          <w:p w14:paraId="502AFC47"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5</w:t>
            </w:r>
          </w:p>
        </w:tc>
        <w:tc>
          <w:tcPr>
            <w:tcW w:w="1820" w:type="dxa"/>
            <w:noWrap/>
            <w:hideMark/>
          </w:tcPr>
          <w:p w14:paraId="1C1D19D2"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w:t>
            </w:r>
          </w:p>
        </w:tc>
        <w:tc>
          <w:tcPr>
            <w:tcW w:w="2820" w:type="dxa"/>
            <w:noWrap/>
            <w:hideMark/>
          </w:tcPr>
          <w:p w14:paraId="23744197"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6</w:t>
            </w:r>
          </w:p>
        </w:tc>
      </w:tr>
      <w:tr w:rsidR="00007A36" w:rsidRPr="00007A36" w14:paraId="0A4DE1DF"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32EA78F"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Amphitheater</w:t>
            </w:r>
          </w:p>
        </w:tc>
        <w:tc>
          <w:tcPr>
            <w:tcW w:w="1580" w:type="dxa"/>
            <w:noWrap/>
            <w:hideMark/>
          </w:tcPr>
          <w:p w14:paraId="0FDF11A9"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26,066</w:t>
            </w:r>
          </w:p>
        </w:tc>
        <w:tc>
          <w:tcPr>
            <w:tcW w:w="1900" w:type="dxa"/>
            <w:noWrap/>
            <w:hideMark/>
          </w:tcPr>
          <w:p w14:paraId="7BB54BC5"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6</w:t>
            </w:r>
          </w:p>
        </w:tc>
        <w:tc>
          <w:tcPr>
            <w:tcW w:w="1960" w:type="dxa"/>
            <w:noWrap/>
            <w:hideMark/>
          </w:tcPr>
          <w:p w14:paraId="7528BA6D"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w:t>
            </w:r>
          </w:p>
        </w:tc>
        <w:tc>
          <w:tcPr>
            <w:tcW w:w="2120" w:type="dxa"/>
            <w:noWrap/>
            <w:hideMark/>
          </w:tcPr>
          <w:p w14:paraId="3684DD29"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1,342</w:t>
            </w:r>
          </w:p>
        </w:tc>
        <w:tc>
          <w:tcPr>
            <w:tcW w:w="1900" w:type="dxa"/>
            <w:noWrap/>
            <w:hideMark/>
          </w:tcPr>
          <w:p w14:paraId="22254796"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0.02</w:t>
            </w:r>
          </w:p>
        </w:tc>
        <w:tc>
          <w:tcPr>
            <w:tcW w:w="1820" w:type="dxa"/>
            <w:noWrap/>
            <w:hideMark/>
          </w:tcPr>
          <w:p w14:paraId="0B38093B"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0.003</w:t>
            </w:r>
          </w:p>
        </w:tc>
        <w:tc>
          <w:tcPr>
            <w:tcW w:w="2820" w:type="dxa"/>
            <w:noWrap/>
            <w:hideMark/>
          </w:tcPr>
          <w:p w14:paraId="7FC6D7B3"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5</w:t>
            </w:r>
          </w:p>
        </w:tc>
      </w:tr>
      <w:tr w:rsidR="00007A36" w:rsidRPr="00007A36" w14:paraId="7803846A"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8DED498"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Anthracite</w:t>
            </w:r>
          </w:p>
        </w:tc>
        <w:tc>
          <w:tcPr>
            <w:tcW w:w="1580" w:type="dxa"/>
            <w:noWrap/>
            <w:hideMark/>
          </w:tcPr>
          <w:p w14:paraId="478EA7FB"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19,027</w:t>
            </w:r>
          </w:p>
        </w:tc>
        <w:tc>
          <w:tcPr>
            <w:tcW w:w="1900" w:type="dxa"/>
            <w:noWrap/>
            <w:hideMark/>
          </w:tcPr>
          <w:p w14:paraId="46CF1D14"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960" w:type="dxa"/>
            <w:noWrap/>
            <w:hideMark/>
          </w:tcPr>
          <w:p w14:paraId="129B5A64"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120" w:type="dxa"/>
            <w:noWrap/>
            <w:hideMark/>
          </w:tcPr>
          <w:p w14:paraId="6CE764CC"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111</w:t>
            </w:r>
          </w:p>
        </w:tc>
        <w:tc>
          <w:tcPr>
            <w:tcW w:w="1900" w:type="dxa"/>
            <w:noWrap/>
            <w:hideMark/>
          </w:tcPr>
          <w:p w14:paraId="0412E857"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820" w:type="dxa"/>
            <w:noWrap/>
            <w:hideMark/>
          </w:tcPr>
          <w:p w14:paraId="6467F964"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820" w:type="dxa"/>
            <w:noWrap/>
            <w:hideMark/>
          </w:tcPr>
          <w:p w14:paraId="03D75C7B"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w:t>
            </w:r>
          </w:p>
        </w:tc>
      </w:tr>
      <w:tr w:rsidR="00007A36" w:rsidRPr="00007A36" w14:paraId="0A2840E5"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39FBDD61"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Bald Mountain</w:t>
            </w:r>
          </w:p>
        </w:tc>
        <w:tc>
          <w:tcPr>
            <w:tcW w:w="1580" w:type="dxa"/>
            <w:noWrap/>
            <w:hideMark/>
          </w:tcPr>
          <w:p w14:paraId="0E68AA48"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30,788</w:t>
            </w:r>
          </w:p>
        </w:tc>
        <w:tc>
          <w:tcPr>
            <w:tcW w:w="1900" w:type="dxa"/>
            <w:noWrap/>
            <w:hideMark/>
          </w:tcPr>
          <w:p w14:paraId="6059500A"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1960" w:type="dxa"/>
            <w:noWrap/>
            <w:hideMark/>
          </w:tcPr>
          <w:p w14:paraId="5D607F33"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2120" w:type="dxa"/>
            <w:noWrap/>
            <w:hideMark/>
          </w:tcPr>
          <w:p w14:paraId="59FCB320"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1,201</w:t>
            </w:r>
          </w:p>
        </w:tc>
        <w:tc>
          <w:tcPr>
            <w:tcW w:w="1900" w:type="dxa"/>
            <w:noWrap/>
            <w:hideMark/>
          </w:tcPr>
          <w:p w14:paraId="4E70A62B"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1820" w:type="dxa"/>
            <w:noWrap/>
            <w:hideMark/>
          </w:tcPr>
          <w:p w14:paraId="52A3ADC4"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2820" w:type="dxa"/>
            <w:noWrap/>
            <w:hideMark/>
          </w:tcPr>
          <w:p w14:paraId="6C4E127D"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4</w:t>
            </w:r>
          </w:p>
        </w:tc>
      </w:tr>
      <w:tr w:rsidR="00007A36" w:rsidRPr="00007A36" w14:paraId="62853862"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454E51DB"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Beckwith Mountain</w:t>
            </w:r>
          </w:p>
        </w:tc>
        <w:tc>
          <w:tcPr>
            <w:tcW w:w="1580" w:type="dxa"/>
            <w:noWrap/>
            <w:hideMark/>
          </w:tcPr>
          <w:p w14:paraId="68A70F08"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49,536</w:t>
            </w:r>
          </w:p>
        </w:tc>
        <w:tc>
          <w:tcPr>
            <w:tcW w:w="1900" w:type="dxa"/>
            <w:noWrap/>
            <w:hideMark/>
          </w:tcPr>
          <w:p w14:paraId="6BF882E4"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960" w:type="dxa"/>
            <w:noWrap/>
            <w:hideMark/>
          </w:tcPr>
          <w:p w14:paraId="37C24EA1"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120" w:type="dxa"/>
            <w:noWrap/>
            <w:hideMark/>
          </w:tcPr>
          <w:p w14:paraId="344F3C3F"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254</w:t>
            </w:r>
          </w:p>
        </w:tc>
        <w:tc>
          <w:tcPr>
            <w:tcW w:w="1900" w:type="dxa"/>
            <w:noWrap/>
            <w:hideMark/>
          </w:tcPr>
          <w:p w14:paraId="5EC71AD8"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820" w:type="dxa"/>
            <w:noWrap/>
            <w:hideMark/>
          </w:tcPr>
          <w:p w14:paraId="175DC822"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820" w:type="dxa"/>
            <w:noWrap/>
            <w:hideMark/>
          </w:tcPr>
          <w:p w14:paraId="03D376E7"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w:t>
            </w:r>
          </w:p>
        </w:tc>
      </w:tr>
      <w:tr w:rsidR="00007A36" w:rsidRPr="00007A36" w14:paraId="3E694A0B"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2BD0F7D8"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Black Mesa</w:t>
            </w:r>
          </w:p>
        </w:tc>
        <w:tc>
          <w:tcPr>
            <w:tcW w:w="1580" w:type="dxa"/>
            <w:noWrap/>
            <w:hideMark/>
          </w:tcPr>
          <w:p w14:paraId="0AC0F70F"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27,461</w:t>
            </w:r>
          </w:p>
        </w:tc>
        <w:tc>
          <w:tcPr>
            <w:tcW w:w="1900" w:type="dxa"/>
            <w:noWrap/>
            <w:hideMark/>
          </w:tcPr>
          <w:p w14:paraId="27D2A8E8"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18</w:t>
            </w:r>
          </w:p>
        </w:tc>
        <w:tc>
          <w:tcPr>
            <w:tcW w:w="1960" w:type="dxa"/>
            <w:noWrap/>
            <w:hideMark/>
          </w:tcPr>
          <w:p w14:paraId="57A6976F"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5</w:t>
            </w:r>
          </w:p>
        </w:tc>
        <w:tc>
          <w:tcPr>
            <w:tcW w:w="2120" w:type="dxa"/>
            <w:noWrap/>
            <w:hideMark/>
          </w:tcPr>
          <w:p w14:paraId="2D0C5E48"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3,306</w:t>
            </w:r>
          </w:p>
        </w:tc>
        <w:tc>
          <w:tcPr>
            <w:tcW w:w="1900" w:type="dxa"/>
            <w:noWrap/>
            <w:hideMark/>
          </w:tcPr>
          <w:p w14:paraId="4E89CBA5"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0.07</w:t>
            </w:r>
          </w:p>
        </w:tc>
        <w:tc>
          <w:tcPr>
            <w:tcW w:w="1820" w:type="dxa"/>
            <w:noWrap/>
            <w:hideMark/>
          </w:tcPr>
          <w:p w14:paraId="17564A77"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0.02</w:t>
            </w:r>
          </w:p>
        </w:tc>
        <w:tc>
          <w:tcPr>
            <w:tcW w:w="2820" w:type="dxa"/>
            <w:noWrap/>
            <w:hideMark/>
          </w:tcPr>
          <w:p w14:paraId="647382AE"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12</w:t>
            </w:r>
          </w:p>
        </w:tc>
      </w:tr>
      <w:tr w:rsidR="00007A36" w:rsidRPr="00007A36" w14:paraId="5CEB2030"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84A52FF"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Brush Creek</w:t>
            </w:r>
          </w:p>
        </w:tc>
        <w:tc>
          <w:tcPr>
            <w:tcW w:w="1580" w:type="dxa"/>
            <w:noWrap/>
            <w:hideMark/>
          </w:tcPr>
          <w:p w14:paraId="065EFA06"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37,135</w:t>
            </w:r>
          </w:p>
        </w:tc>
        <w:tc>
          <w:tcPr>
            <w:tcW w:w="1900" w:type="dxa"/>
            <w:noWrap/>
            <w:hideMark/>
          </w:tcPr>
          <w:p w14:paraId="04AA758D"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960" w:type="dxa"/>
            <w:noWrap/>
            <w:hideMark/>
          </w:tcPr>
          <w:p w14:paraId="1A6C4CA2"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120" w:type="dxa"/>
            <w:noWrap/>
            <w:hideMark/>
          </w:tcPr>
          <w:p w14:paraId="47C4B559"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485</w:t>
            </w:r>
          </w:p>
        </w:tc>
        <w:tc>
          <w:tcPr>
            <w:tcW w:w="1900" w:type="dxa"/>
            <w:noWrap/>
            <w:hideMark/>
          </w:tcPr>
          <w:p w14:paraId="606DF0A5"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820" w:type="dxa"/>
            <w:noWrap/>
            <w:hideMark/>
          </w:tcPr>
          <w:p w14:paraId="74B5D78F"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820" w:type="dxa"/>
            <w:noWrap/>
            <w:hideMark/>
          </w:tcPr>
          <w:p w14:paraId="7F1B7F2F"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w:t>
            </w:r>
          </w:p>
        </w:tc>
      </w:tr>
      <w:tr w:rsidR="00007A36" w:rsidRPr="00007A36" w14:paraId="513AA58C"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433EC3DA"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Castle Pass</w:t>
            </w:r>
          </w:p>
        </w:tc>
        <w:tc>
          <w:tcPr>
            <w:tcW w:w="1580" w:type="dxa"/>
            <w:noWrap/>
            <w:hideMark/>
          </w:tcPr>
          <w:p w14:paraId="59EC6A0B"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29,401</w:t>
            </w:r>
          </w:p>
        </w:tc>
        <w:tc>
          <w:tcPr>
            <w:tcW w:w="1900" w:type="dxa"/>
            <w:noWrap/>
            <w:hideMark/>
          </w:tcPr>
          <w:p w14:paraId="5DAD1EC2"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23</w:t>
            </w:r>
          </w:p>
        </w:tc>
        <w:tc>
          <w:tcPr>
            <w:tcW w:w="1960" w:type="dxa"/>
            <w:noWrap/>
            <w:hideMark/>
          </w:tcPr>
          <w:p w14:paraId="5581CE7E"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3</w:t>
            </w:r>
          </w:p>
        </w:tc>
        <w:tc>
          <w:tcPr>
            <w:tcW w:w="2120" w:type="dxa"/>
            <w:noWrap/>
            <w:hideMark/>
          </w:tcPr>
          <w:p w14:paraId="6FDBA5B1"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834</w:t>
            </w:r>
          </w:p>
        </w:tc>
        <w:tc>
          <w:tcPr>
            <w:tcW w:w="1900" w:type="dxa"/>
            <w:noWrap/>
            <w:hideMark/>
          </w:tcPr>
          <w:p w14:paraId="5870630C"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0.08</w:t>
            </w:r>
          </w:p>
        </w:tc>
        <w:tc>
          <w:tcPr>
            <w:tcW w:w="1820" w:type="dxa"/>
            <w:noWrap/>
            <w:hideMark/>
          </w:tcPr>
          <w:p w14:paraId="6A94A4FD"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0.01</w:t>
            </w:r>
          </w:p>
        </w:tc>
        <w:tc>
          <w:tcPr>
            <w:tcW w:w="2820" w:type="dxa"/>
            <w:noWrap/>
            <w:hideMark/>
          </w:tcPr>
          <w:p w14:paraId="638A71BF"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3</w:t>
            </w:r>
          </w:p>
        </w:tc>
      </w:tr>
      <w:tr w:rsidR="00007A36" w:rsidRPr="00007A36" w14:paraId="7E462DB7"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51EDBAAF"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Cathedral</w:t>
            </w:r>
          </w:p>
        </w:tc>
        <w:tc>
          <w:tcPr>
            <w:tcW w:w="1580" w:type="dxa"/>
            <w:noWrap/>
            <w:hideMark/>
          </w:tcPr>
          <w:p w14:paraId="281FA8B6"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21,078</w:t>
            </w:r>
          </w:p>
        </w:tc>
        <w:tc>
          <w:tcPr>
            <w:tcW w:w="1900" w:type="dxa"/>
            <w:noWrap/>
            <w:hideMark/>
          </w:tcPr>
          <w:p w14:paraId="61981F7D"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156</w:t>
            </w:r>
          </w:p>
        </w:tc>
        <w:tc>
          <w:tcPr>
            <w:tcW w:w="1960" w:type="dxa"/>
            <w:noWrap/>
            <w:hideMark/>
          </w:tcPr>
          <w:p w14:paraId="23FCE24B"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32</w:t>
            </w:r>
          </w:p>
        </w:tc>
        <w:tc>
          <w:tcPr>
            <w:tcW w:w="2120" w:type="dxa"/>
            <w:noWrap/>
            <w:hideMark/>
          </w:tcPr>
          <w:p w14:paraId="37820F98"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8,582</w:t>
            </w:r>
          </w:p>
        </w:tc>
        <w:tc>
          <w:tcPr>
            <w:tcW w:w="1900" w:type="dxa"/>
            <w:noWrap/>
            <w:hideMark/>
          </w:tcPr>
          <w:p w14:paraId="139D047A"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0.7</w:t>
            </w:r>
          </w:p>
        </w:tc>
        <w:tc>
          <w:tcPr>
            <w:tcW w:w="1820" w:type="dxa"/>
            <w:noWrap/>
            <w:hideMark/>
          </w:tcPr>
          <w:p w14:paraId="09C17006"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0.1</w:t>
            </w:r>
          </w:p>
        </w:tc>
        <w:tc>
          <w:tcPr>
            <w:tcW w:w="2820" w:type="dxa"/>
            <w:noWrap/>
            <w:hideMark/>
          </w:tcPr>
          <w:p w14:paraId="5CF35664"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41</w:t>
            </w:r>
          </w:p>
        </w:tc>
      </w:tr>
      <w:tr w:rsidR="00007A36" w:rsidRPr="00007A36" w14:paraId="230C4686"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554BB31"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Cebolla</w:t>
            </w:r>
          </w:p>
        </w:tc>
        <w:tc>
          <w:tcPr>
            <w:tcW w:w="1580" w:type="dxa"/>
            <w:noWrap/>
            <w:hideMark/>
          </w:tcPr>
          <w:p w14:paraId="7E9E2E6C"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41,846</w:t>
            </w:r>
          </w:p>
        </w:tc>
        <w:tc>
          <w:tcPr>
            <w:tcW w:w="1900" w:type="dxa"/>
            <w:noWrap/>
            <w:hideMark/>
          </w:tcPr>
          <w:p w14:paraId="1567ED75"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253</w:t>
            </w:r>
          </w:p>
        </w:tc>
        <w:tc>
          <w:tcPr>
            <w:tcW w:w="1960" w:type="dxa"/>
            <w:noWrap/>
            <w:hideMark/>
          </w:tcPr>
          <w:p w14:paraId="4F0D5DAC"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63</w:t>
            </w:r>
          </w:p>
        </w:tc>
        <w:tc>
          <w:tcPr>
            <w:tcW w:w="2120" w:type="dxa"/>
            <w:noWrap/>
            <w:hideMark/>
          </w:tcPr>
          <w:p w14:paraId="4ECF63DA"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6,384</w:t>
            </w:r>
          </w:p>
        </w:tc>
        <w:tc>
          <w:tcPr>
            <w:tcW w:w="1900" w:type="dxa"/>
            <w:noWrap/>
            <w:hideMark/>
          </w:tcPr>
          <w:p w14:paraId="05369045"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0.6</w:t>
            </w:r>
          </w:p>
        </w:tc>
        <w:tc>
          <w:tcPr>
            <w:tcW w:w="1820" w:type="dxa"/>
            <w:noWrap/>
            <w:hideMark/>
          </w:tcPr>
          <w:p w14:paraId="19495407"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0.2</w:t>
            </w:r>
          </w:p>
        </w:tc>
        <w:tc>
          <w:tcPr>
            <w:tcW w:w="2820" w:type="dxa"/>
            <w:noWrap/>
            <w:hideMark/>
          </w:tcPr>
          <w:p w14:paraId="2D29436C"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15</w:t>
            </w:r>
          </w:p>
        </w:tc>
      </w:tr>
      <w:tr w:rsidR="00007A36" w:rsidRPr="00007A36" w14:paraId="4A7E27D6"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28FA56AD"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Chalk Mountain</w:t>
            </w:r>
          </w:p>
        </w:tc>
        <w:tc>
          <w:tcPr>
            <w:tcW w:w="1580" w:type="dxa"/>
            <w:noWrap/>
            <w:hideMark/>
          </w:tcPr>
          <w:p w14:paraId="26DBF614"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22,210</w:t>
            </w:r>
          </w:p>
        </w:tc>
        <w:tc>
          <w:tcPr>
            <w:tcW w:w="1900" w:type="dxa"/>
            <w:noWrap/>
            <w:hideMark/>
          </w:tcPr>
          <w:p w14:paraId="5F7C1ED4"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412</w:t>
            </w:r>
          </w:p>
        </w:tc>
        <w:tc>
          <w:tcPr>
            <w:tcW w:w="1960" w:type="dxa"/>
            <w:noWrap/>
            <w:hideMark/>
          </w:tcPr>
          <w:p w14:paraId="37B78262"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63</w:t>
            </w:r>
          </w:p>
        </w:tc>
        <w:tc>
          <w:tcPr>
            <w:tcW w:w="2120" w:type="dxa"/>
            <w:noWrap/>
            <w:hideMark/>
          </w:tcPr>
          <w:p w14:paraId="1611BB80"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14</w:t>
            </w:r>
          </w:p>
        </w:tc>
        <w:tc>
          <w:tcPr>
            <w:tcW w:w="1900" w:type="dxa"/>
            <w:noWrap/>
            <w:hideMark/>
          </w:tcPr>
          <w:p w14:paraId="4152E56E"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w:t>
            </w:r>
          </w:p>
        </w:tc>
        <w:tc>
          <w:tcPr>
            <w:tcW w:w="1820" w:type="dxa"/>
            <w:noWrap/>
            <w:hideMark/>
          </w:tcPr>
          <w:p w14:paraId="24389530"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0.3</w:t>
            </w:r>
          </w:p>
        </w:tc>
        <w:tc>
          <w:tcPr>
            <w:tcW w:w="2820" w:type="dxa"/>
            <w:noWrap/>
            <w:hideMark/>
          </w:tcPr>
          <w:p w14:paraId="29C01F51"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0.06</w:t>
            </w:r>
          </w:p>
        </w:tc>
      </w:tr>
      <w:tr w:rsidR="00007A36" w:rsidRPr="00007A36" w14:paraId="73F1B2E4"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4CB2C89"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Chester</w:t>
            </w:r>
          </w:p>
        </w:tc>
        <w:tc>
          <w:tcPr>
            <w:tcW w:w="1580" w:type="dxa"/>
            <w:noWrap/>
            <w:hideMark/>
          </w:tcPr>
          <w:p w14:paraId="61785DE8"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22,945</w:t>
            </w:r>
          </w:p>
        </w:tc>
        <w:tc>
          <w:tcPr>
            <w:tcW w:w="1900" w:type="dxa"/>
            <w:noWrap/>
            <w:hideMark/>
          </w:tcPr>
          <w:p w14:paraId="61B77AD3"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553</w:t>
            </w:r>
          </w:p>
        </w:tc>
        <w:tc>
          <w:tcPr>
            <w:tcW w:w="1960" w:type="dxa"/>
            <w:noWrap/>
            <w:hideMark/>
          </w:tcPr>
          <w:p w14:paraId="56EFDFEB"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134</w:t>
            </w:r>
          </w:p>
        </w:tc>
        <w:tc>
          <w:tcPr>
            <w:tcW w:w="2120" w:type="dxa"/>
            <w:noWrap/>
            <w:hideMark/>
          </w:tcPr>
          <w:p w14:paraId="4B6E3075"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1,277</w:t>
            </w:r>
          </w:p>
        </w:tc>
        <w:tc>
          <w:tcPr>
            <w:tcW w:w="1900" w:type="dxa"/>
            <w:noWrap/>
            <w:hideMark/>
          </w:tcPr>
          <w:p w14:paraId="5D45DC88"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w:t>
            </w:r>
          </w:p>
        </w:tc>
        <w:tc>
          <w:tcPr>
            <w:tcW w:w="1820" w:type="dxa"/>
            <w:noWrap/>
            <w:hideMark/>
          </w:tcPr>
          <w:p w14:paraId="5C2A3A0D"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0.6</w:t>
            </w:r>
          </w:p>
        </w:tc>
        <w:tc>
          <w:tcPr>
            <w:tcW w:w="2820" w:type="dxa"/>
            <w:noWrap/>
            <w:hideMark/>
          </w:tcPr>
          <w:p w14:paraId="5B01ED19"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6</w:t>
            </w:r>
          </w:p>
        </w:tc>
      </w:tr>
      <w:tr w:rsidR="00007A36" w:rsidRPr="00007A36" w14:paraId="0C236404"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1A68DABA"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Chimney Rock</w:t>
            </w:r>
          </w:p>
        </w:tc>
        <w:tc>
          <w:tcPr>
            <w:tcW w:w="1580" w:type="dxa"/>
            <w:noWrap/>
            <w:hideMark/>
          </w:tcPr>
          <w:p w14:paraId="439BDBD3"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22,475</w:t>
            </w:r>
          </w:p>
        </w:tc>
        <w:tc>
          <w:tcPr>
            <w:tcW w:w="1900" w:type="dxa"/>
            <w:noWrap/>
            <w:hideMark/>
          </w:tcPr>
          <w:p w14:paraId="4D4D07B7"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960" w:type="dxa"/>
            <w:noWrap/>
            <w:hideMark/>
          </w:tcPr>
          <w:p w14:paraId="1F2DDE0F"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120" w:type="dxa"/>
            <w:noWrap/>
            <w:hideMark/>
          </w:tcPr>
          <w:p w14:paraId="3DACB27A"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46</w:t>
            </w:r>
          </w:p>
        </w:tc>
        <w:tc>
          <w:tcPr>
            <w:tcW w:w="1900" w:type="dxa"/>
            <w:noWrap/>
            <w:hideMark/>
          </w:tcPr>
          <w:p w14:paraId="2547C1AC"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820" w:type="dxa"/>
            <w:noWrap/>
            <w:hideMark/>
          </w:tcPr>
          <w:p w14:paraId="4CDDA4AC"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820" w:type="dxa"/>
            <w:noWrap/>
            <w:hideMark/>
          </w:tcPr>
          <w:p w14:paraId="6E03355F"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0.2</w:t>
            </w:r>
          </w:p>
        </w:tc>
      </w:tr>
      <w:tr w:rsidR="00007A36" w:rsidRPr="00007A36" w14:paraId="11B847D7"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44C0B383"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Cochetopa</w:t>
            </w:r>
          </w:p>
        </w:tc>
        <w:tc>
          <w:tcPr>
            <w:tcW w:w="1580" w:type="dxa"/>
            <w:noWrap/>
            <w:hideMark/>
          </w:tcPr>
          <w:p w14:paraId="2FB37C10"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18,708</w:t>
            </w:r>
          </w:p>
        </w:tc>
        <w:tc>
          <w:tcPr>
            <w:tcW w:w="1900" w:type="dxa"/>
            <w:noWrap/>
            <w:hideMark/>
          </w:tcPr>
          <w:p w14:paraId="13AB32A1"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425</w:t>
            </w:r>
          </w:p>
        </w:tc>
        <w:tc>
          <w:tcPr>
            <w:tcW w:w="1960" w:type="dxa"/>
            <w:noWrap/>
            <w:hideMark/>
          </w:tcPr>
          <w:p w14:paraId="29C20289"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82</w:t>
            </w:r>
          </w:p>
        </w:tc>
        <w:tc>
          <w:tcPr>
            <w:tcW w:w="2120" w:type="dxa"/>
            <w:noWrap/>
            <w:hideMark/>
          </w:tcPr>
          <w:p w14:paraId="12E81684"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3,578</w:t>
            </w:r>
          </w:p>
        </w:tc>
        <w:tc>
          <w:tcPr>
            <w:tcW w:w="1900" w:type="dxa"/>
            <w:noWrap/>
            <w:hideMark/>
          </w:tcPr>
          <w:p w14:paraId="6CB48A23"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w:t>
            </w:r>
          </w:p>
        </w:tc>
        <w:tc>
          <w:tcPr>
            <w:tcW w:w="1820" w:type="dxa"/>
            <w:noWrap/>
            <w:hideMark/>
          </w:tcPr>
          <w:p w14:paraId="652445CB"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0.4</w:t>
            </w:r>
          </w:p>
        </w:tc>
        <w:tc>
          <w:tcPr>
            <w:tcW w:w="2820" w:type="dxa"/>
            <w:noWrap/>
            <w:hideMark/>
          </w:tcPr>
          <w:p w14:paraId="3B9657EF"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19</w:t>
            </w:r>
          </w:p>
        </w:tc>
      </w:tr>
      <w:tr w:rsidR="00007A36" w:rsidRPr="00007A36" w14:paraId="6975C2AC"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5A8B8AD"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Cottonwood Lakes</w:t>
            </w:r>
          </w:p>
        </w:tc>
        <w:tc>
          <w:tcPr>
            <w:tcW w:w="1580" w:type="dxa"/>
            <w:noWrap/>
            <w:hideMark/>
          </w:tcPr>
          <w:p w14:paraId="14C1C02F"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24,309</w:t>
            </w:r>
          </w:p>
        </w:tc>
        <w:tc>
          <w:tcPr>
            <w:tcW w:w="1900" w:type="dxa"/>
            <w:noWrap/>
            <w:hideMark/>
          </w:tcPr>
          <w:p w14:paraId="67F67DCC"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454</w:t>
            </w:r>
          </w:p>
        </w:tc>
        <w:tc>
          <w:tcPr>
            <w:tcW w:w="1960" w:type="dxa"/>
            <w:noWrap/>
            <w:hideMark/>
          </w:tcPr>
          <w:p w14:paraId="7644FA2F"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90</w:t>
            </w:r>
          </w:p>
        </w:tc>
        <w:tc>
          <w:tcPr>
            <w:tcW w:w="2120" w:type="dxa"/>
            <w:noWrap/>
            <w:hideMark/>
          </w:tcPr>
          <w:p w14:paraId="4F3EDFAC"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262</w:t>
            </w:r>
          </w:p>
        </w:tc>
        <w:tc>
          <w:tcPr>
            <w:tcW w:w="1900" w:type="dxa"/>
            <w:noWrap/>
            <w:hideMark/>
          </w:tcPr>
          <w:p w14:paraId="3A17BA67"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w:t>
            </w:r>
          </w:p>
        </w:tc>
        <w:tc>
          <w:tcPr>
            <w:tcW w:w="1820" w:type="dxa"/>
            <w:noWrap/>
            <w:hideMark/>
          </w:tcPr>
          <w:p w14:paraId="3B56D0FE"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0.4</w:t>
            </w:r>
          </w:p>
        </w:tc>
        <w:tc>
          <w:tcPr>
            <w:tcW w:w="2820" w:type="dxa"/>
            <w:noWrap/>
            <w:hideMark/>
          </w:tcPr>
          <w:p w14:paraId="0C9C765F"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w:t>
            </w:r>
          </w:p>
        </w:tc>
      </w:tr>
      <w:tr w:rsidR="00007A36" w:rsidRPr="00007A36" w14:paraId="24EB856D"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5BA281C"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Crater Lake</w:t>
            </w:r>
          </w:p>
        </w:tc>
        <w:tc>
          <w:tcPr>
            <w:tcW w:w="1580" w:type="dxa"/>
            <w:noWrap/>
            <w:hideMark/>
          </w:tcPr>
          <w:p w14:paraId="31A19C08"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32,895</w:t>
            </w:r>
          </w:p>
        </w:tc>
        <w:tc>
          <w:tcPr>
            <w:tcW w:w="1900" w:type="dxa"/>
            <w:noWrap/>
            <w:hideMark/>
          </w:tcPr>
          <w:p w14:paraId="1FEB9AED"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1,207</w:t>
            </w:r>
          </w:p>
        </w:tc>
        <w:tc>
          <w:tcPr>
            <w:tcW w:w="1960" w:type="dxa"/>
            <w:noWrap/>
            <w:hideMark/>
          </w:tcPr>
          <w:p w14:paraId="2CA33C88"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181</w:t>
            </w:r>
          </w:p>
        </w:tc>
        <w:tc>
          <w:tcPr>
            <w:tcW w:w="2120" w:type="dxa"/>
            <w:noWrap/>
            <w:hideMark/>
          </w:tcPr>
          <w:p w14:paraId="0D55FD5C"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298</w:t>
            </w:r>
          </w:p>
        </w:tc>
        <w:tc>
          <w:tcPr>
            <w:tcW w:w="1900" w:type="dxa"/>
            <w:noWrap/>
            <w:hideMark/>
          </w:tcPr>
          <w:p w14:paraId="36E55EA1"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4</w:t>
            </w:r>
          </w:p>
        </w:tc>
        <w:tc>
          <w:tcPr>
            <w:tcW w:w="1820" w:type="dxa"/>
            <w:noWrap/>
            <w:hideMark/>
          </w:tcPr>
          <w:p w14:paraId="186C26C6"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0.6</w:t>
            </w:r>
          </w:p>
        </w:tc>
        <w:tc>
          <w:tcPr>
            <w:tcW w:w="2820" w:type="dxa"/>
            <w:noWrap/>
            <w:hideMark/>
          </w:tcPr>
          <w:p w14:paraId="08183D12"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w:t>
            </w:r>
          </w:p>
        </w:tc>
      </w:tr>
      <w:tr w:rsidR="00007A36" w:rsidRPr="00007A36" w14:paraId="58E30640"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7A6A6EAD"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Dallas Creek</w:t>
            </w:r>
          </w:p>
        </w:tc>
        <w:tc>
          <w:tcPr>
            <w:tcW w:w="1580" w:type="dxa"/>
            <w:noWrap/>
            <w:hideMark/>
          </w:tcPr>
          <w:p w14:paraId="6024D902"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17,505</w:t>
            </w:r>
          </w:p>
        </w:tc>
        <w:tc>
          <w:tcPr>
            <w:tcW w:w="1900" w:type="dxa"/>
            <w:noWrap/>
            <w:hideMark/>
          </w:tcPr>
          <w:p w14:paraId="00A60CCE"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960" w:type="dxa"/>
            <w:noWrap/>
            <w:hideMark/>
          </w:tcPr>
          <w:p w14:paraId="7D45DD99"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120" w:type="dxa"/>
            <w:noWrap/>
            <w:hideMark/>
          </w:tcPr>
          <w:p w14:paraId="7C534192"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771</w:t>
            </w:r>
          </w:p>
        </w:tc>
        <w:tc>
          <w:tcPr>
            <w:tcW w:w="1900" w:type="dxa"/>
            <w:noWrap/>
            <w:hideMark/>
          </w:tcPr>
          <w:p w14:paraId="210787AF"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820" w:type="dxa"/>
            <w:noWrap/>
            <w:hideMark/>
          </w:tcPr>
          <w:p w14:paraId="38ED11FA"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820" w:type="dxa"/>
            <w:noWrap/>
            <w:hideMark/>
          </w:tcPr>
          <w:p w14:paraId="79D76FA5"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4</w:t>
            </w:r>
          </w:p>
        </w:tc>
      </w:tr>
      <w:tr w:rsidR="00007A36" w:rsidRPr="00007A36" w14:paraId="438021CD"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1873A217"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Fossil Ridge</w:t>
            </w:r>
          </w:p>
        </w:tc>
        <w:tc>
          <w:tcPr>
            <w:tcW w:w="1580" w:type="dxa"/>
            <w:noWrap/>
            <w:hideMark/>
          </w:tcPr>
          <w:p w14:paraId="271E01DB"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26,900</w:t>
            </w:r>
          </w:p>
        </w:tc>
        <w:tc>
          <w:tcPr>
            <w:tcW w:w="1900" w:type="dxa"/>
            <w:noWrap/>
            <w:hideMark/>
          </w:tcPr>
          <w:p w14:paraId="4539FC8F"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6</w:t>
            </w:r>
          </w:p>
        </w:tc>
        <w:tc>
          <w:tcPr>
            <w:tcW w:w="1960" w:type="dxa"/>
            <w:noWrap/>
            <w:hideMark/>
          </w:tcPr>
          <w:p w14:paraId="5C9AD729"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w:t>
            </w:r>
          </w:p>
        </w:tc>
        <w:tc>
          <w:tcPr>
            <w:tcW w:w="2120" w:type="dxa"/>
            <w:noWrap/>
            <w:hideMark/>
          </w:tcPr>
          <w:p w14:paraId="3B3D183C"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1,577</w:t>
            </w:r>
          </w:p>
        </w:tc>
        <w:tc>
          <w:tcPr>
            <w:tcW w:w="1900" w:type="dxa"/>
            <w:noWrap/>
            <w:hideMark/>
          </w:tcPr>
          <w:p w14:paraId="31D7958E"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0.02</w:t>
            </w:r>
          </w:p>
        </w:tc>
        <w:tc>
          <w:tcPr>
            <w:tcW w:w="1820" w:type="dxa"/>
            <w:noWrap/>
            <w:hideMark/>
          </w:tcPr>
          <w:p w14:paraId="369147AC"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0.003</w:t>
            </w:r>
          </w:p>
        </w:tc>
        <w:tc>
          <w:tcPr>
            <w:tcW w:w="2820" w:type="dxa"/>
            <w:noWrap/>
            <w:hideMark/>
          </w:tcPr>
          <w:p w14:paraId="7E775837"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6</w:t>
            </w:r>
          </w:p>
        </w:tc>
      </w:tr>
      <w:tr w:rsidR="00007A36" w:rsidRPr="00007A36" w14:paraId="30FD561D"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259D9E00"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Gothic</w:t>
            </w:r>
          </w:p>
        </w:tc>
        <w:tc>
          <w:tcPr>
            <w:tcW w:w="1580" w:type="dxa"/>
            <w:noWrap/>
            <w:hideMark/>
          </w:tcPr>
          <w:p w14:paraId="2AC32863"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29,774</w:t>
            </w:r>
          </w:p>
        </w:tc>
        <w:tc>
          <w:tcPr>
            <w:tcW w:w="1900" w:type="dxa"/>
            <w:noWrap/>
            <w:hideMark/>
          </w:tcPr>
          <w:p w14:paraId="1BF13542"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960" w:type="dxa"/>
            <w:noWrap/>
            <w:hideMark/>
          </w:tcPr>
          <w:p w14:paraId="0F94EFE8"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120" w:type="dxa"/>
            <w:noWrap/>
            <w:hideMark/>
          </w:tcPr>
          <w:p w14:paraId="5FC46355"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1,603</w:t>
            </w:r>
          </w:p>
        </w:tc>
        <w:tc>
          <w:tcPr>
            <w:tcW w:w="1900" w:type="dxa"/>
            <w:noWrap/>
            <w:hideMark/>
          </w:tcPr>
          <w:p w14:paraId="0C239BBC"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820" w:type="dxa"/>
            <w:noWrap/>
            <w:hideMark/>
          </w:tcPr>
          <w:p w14:paraId="4D1A2555"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820" w:type="dxa"/>
            <w:noWrap/>
            <w:hideMark/>
          </w:tcPr>
          <w:p w14:paraId="7F1703E5"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5</w:t>
            </w:r>
          </w:p>
        </w:tc>
      </w:tr>
      <w:tr w:rsidR="00007A36" w:rsidRPr="00007A36" w14:paraId="074C8E5E"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01DD5BFF"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Green Mountain</w:t>
            </w:r>
          </w:p>
        </w:tc>
        <w:tc>
          <w:tcPr>
            <w:tcW w:w="1580" w:type="dxa"/>
            <w:noWrap/>
            <w:hideMark/>
          </w:tcPr>
          <w:p w14:paraId="241F07BA"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24,793</w:t>
            </w:r>
          </w:p>
        </w:tc>
        <w:tc>
          <w:tcPr>
            <w:tcW w:w="1900" w:type="dxa"/>
            <w:noWrap/>
            <w:hideMark/>
          </w:tcPr>
          <w:p w14:paraId="557825FD"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84</w:t>
            </w:r>
          </w:p>
        </w:tc>
        <w:tc>
          <w:tcPr>
            <w:tcW w:w="1960" w:type="dxa"/>
            <w:noWrap/>
            <w:hideMark/>
          </w:tcPr>
          <w:p w14:paraId="7D564D52"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17</w:t>
            </w:r>
          </w:p>
        </w:tc>
        <w:tc>
          <w:tcPr>
            <w:tcW w:w="2120" w:type="dxa"/>
            <w:noWrap/>
            <w:hideMark/>
          </w:tcPr>
          <w:p w14:paraId="72E15100"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87</w:t>
            </w:r>
          </w:p>
        </w:tc>
        <w:tc>
          <w:tcPr>
            <w:tcW w:w="1900" w:type="dxa"/>
            <w:noWrap/>
            <w:hideMark/>
          </w:tcPr>
          <w:p w14:paraId="48ED63E9"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0.3</w:t>
            </w:r>
          </w:p>
        </w:tc>
        <w:tc>
          <w:tcPr>
            <w:tcW w:w="1820" w:type="dxa"/>
            <w:noWrap/>
            <w:hideMark/>
          </w:tcPr>
          <w:p w14:paraId="561EC5AC"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0.07</w:t>
            </w:r>
          </w:p>
        </w:tc>
        <w:tc>
          <w:tcPr>
            <w:tcW w:w="2820" w:type="dxa"/>
            <w:noWrap/>
            <w:hideMark/>
          </w:tcPr>
          <w:p w14:paraId="75924421"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0.3</w:t>
            </w:r>
          </w:p>
        </w:tc>
      </w:tr>
      <w:tr w:rsidR="00007A36" w:rsidRPr="00007A36" w14:paraId="0DAD07D5"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1EFE60AD"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Grizzly Peak</w:t>
            </w:r>
          </w:p>
        </w:tc>
        <w:tc>
          <w:tcPr>
            <w:tcW w:w="1580" w:type="dxa"/>
            <w:noWrap/>
            <w:hideMark/>
          </w:tcPr>
          <w:p w14:paraId="1FCF8CFD"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15,824</w:t>
            </w:r>
          </w:p>
        </w:tc>
        <w:tc>
          <w:tcPr>
            <w:tcW w:w="1900" w:type="dxa"/>
            <w:noWrap/>
            <w:hideMark/>
          </w:tcPr>
          <w:p w14:paraId="78608BF7"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960" w:type="dxa"/>
            <w:noWrap/>
            <w:hideMark/>
          </w:tcPr>
          <w:p w14:paraId="2AE67C91"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120" w:type="dxa"/>
            <w:noWrap/>
            <w:hideMark/>
          </w:tcPr>
          <w:p w14:paraId="674587A3"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465</w:t>
            </w:r>
          </w:p>
        </w:tc>
        <w:tc>
          <w:tcPr>
            <w:tcW w:w="1900" w:type="dxa"/>
            <w:noWrap/>
            <w:hideMark/>
          </w:tcPr>
          <w:p w14:paraId="7171648F"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820" w:type="dxa"/>
            <w:noWrap/>
            <w:hideMark/>
          </w:tcPr>
          <w:p w14:paraId="262BB4D1"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820" w:type="dxa"/>
            <w:noWrap/>
            <w:hideMark/>
          </w:tcPr>
          <w:p w14:paraId="75C47AEF"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3</w:t>
            </w:r>
          </w:p>
        </w:tc>
      </w:tr>
      <w:tr w:rsidR="00007A36" w:rsidRPr="00007A36" w14:paraId="25598664"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42122429"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Huntsman Mountain</w:t>
            </w:r>
          </w:p>
        </w:tc>
        <w:tc>
          <w:tcPr>
            <w:tcW w:w="1580" w:type="dxa"/>
            <w:noWrap/>
            <w:hideMark/>
          </w:tcPr>
          <w:p w14:paraId="4D02120F"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30,636</w:t>
            </w:r>
          </w:p>
        </w:tc>
        <w:tc>
          <w:tcPr>
            <w:tcW w:w="1900" w:type="dxa"/>
            <w:noWrap/>
            <w:hideMark/>
          </w:tcPr>
          <w:p w14:paraId="637BA921"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1960" w:type="dxa"/>
            <w:noWrap/>
            <w:hideMark/>
          </w:tcPr>
          <w:p w14:paraId="1A145578"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2120" w:type="dxa"/>
            <w:noWrap/>
            <w:hideMark/>
          </w:tcPr>
          <w:p w14:paraId="191FA773"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290</w:t>
            </w:r>
          </w:p>
        </w:tc>
        <w:tc>
          <w:tcPr>
            <w:tcW w:w="1900" w:type="dxa"/>
            <w:noWrap/>
            <w:hideMark/>
          </w:tcPr>
          <w:p w14:paraId="6E67ABDC"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1820" w:type="dxa"/>
            <w:noWrap/>
            <w:hideMark/>
          </w:tcPr>
          <w:p w14:paraId="1A3902E5"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2820" w:type="dxa"/>
            <w:noWrap/>
            <w:hideMark/>
          </w:tcPr>
          <w:p w14:paraId="1830DB4B"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w:t>
            </w:r>
          </w:p>
        </w:tc>
      </w:tr>
      <w:tr w:rsidR="00007A36" w:rsidRPr="00007A36" w14:paraId="2B9ACD6D"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7685825E"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Iron Mountain</w:t>
            </w:r>
          </w:p>
        </w:tc>
        <w:tc>
          <w:tcPr>
            <w:tcW w:w="1580" w:type="dxa"/>
            <w:noWrap/>
            <w:hideMark/>
          </w:tcPr>
          <w:p w14:paraId="7AE73A65"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22,444</w:t>
            </w:r>
          </w:p>
        </w:tc>
        <w:tc>
          <w:tcPr>
            <w:tcW w:w="1900" w:type="dxa"/>
            <w:noWrap/>
            <w:hideMark/>
          </w:tcPr>
          <w:p w14:paraId="13B8246A"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137</w:t>
            </w:r>
          </w:p>
        </w:tc>
        <w:tc>
          <w:tcPr>
            <w:tcW w:w="1960" w:type="dxa"/>
            <w:noWrap/>
            <w:hideMark/>
          </w:tcPr>
          <w:p w14:paraId="1A59A364"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32</w:t>
            </w:r>
          </w:p>
        </w:tc>
        <w:tc>
          <w:tcPr>
            <w:tcW w:w="2120" w:type="dxa"/>
            <w:noWrap/>
            <w:hideMark/>
          </w:tcPr>
          <w:p w14:paraId="7BDE0599"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1,498</w:t>
            </w:r>
          </w:p>
        </w:tc>
        <w:tc>
          <w:tcPr>
            <w:tcW w:w="1900" w:type="dxa"/>
            <w:noWrap/>
            <w:hideMark/>
          </w:tcPr>
          <w:p w14:paraId="0F89A95C"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0.6</w:t>
            </w:r>
          </w:p>
        </w:tc>
        <w:tc>
          <w:tcPr>
            <w:tcW w:w="1820" w:type="dxa"/>
            <w:noWrap/>
            <w:hideMark/>
          </w:tcPr>
          <w:p w14:paraId="2F32DBC1"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0.1</w:t>
            </w:r>
          </w:p>
        </w:tc>
        <w:tc>
          <w:tcPr>
            <w:tcW w:w="2820" w:type="dxa"/>
            <w:noWrap/>
            <w:hideMark/>
          </w:tcPr>
          <w:p w14:paraId="4D2550D5"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7</w:t>
            </w:r>
          </w:p>
        </w:tc>
      </w:tr>
      <w:tr w:rsidR="00007A36" w:rsidRPr="00007A36" w14:paraId="5C835FBB"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CC7A477"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Island Lake</w:t>
            </w:r>
          </w:p>
        </w:tc>
        <w:tc>
          <w:tcPr>
            <w:tcW w:w="1580" w:type="dxa"/>
            <w:noWrap/>
            <w:hideMark/>
          </w:tcPr>
          <w:p w14:paraId="41FD4937"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17,724</w:t>
            </w:r>
          </w:p>
        </w:tc>
        <w:tc>
          <w:tcPr>
            <w:tcW w:w="1900" w:type="dxa"/>
            <w:noWrap/>
            <w:hideMark/>
          </w:tcPr>
          <w:p w14:paraId="2CEE90AF"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73</w:t>
            </w:r>
          </w:p>
        </w:tc>
        <w:tc>
          <w:tcPr>
            <w:tcW w:w="1960" w:type="dxa"/>
            <w:noWrap/>
            <w:hideMark/>
          </w:tcPr>
          <w:p w14:paraId="57314AE9"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17</w:t>
            </w:r>
          </w:p>
        </w:tc>
        <w:tc>
          <w:tcPr>
            <w:tcW w:w="2120" w:type="dxa"/>
            <w:noWrap/>
            <w:hideMark/>
          </w:tcPr>
          <w:p w14:paraId="1913B579"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503</w:t>
            </w:r>
          </w:p>
        </w:tc>
        <w:tc>
          <w:tcPr>
            <w:tcW w:w="1900" w:type="dxa"/>
            <w:noWrap/>
            <w:hideMark/>
          </w:tcPr>
          <w:p w14:paraId="24259ADB"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0.4</w:t>
            </w:r>
          </w:p>
        </w:tc>
        <w:tc>
          <w:tcPr>
            <w:tcW w:w="1820" w:type="dxa"/>
            <w:noWrap/>
            <w:hideMark/>
          </w:tcPr>
          <w:p w14:paraId="51B28A5D"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0.10</w:t>
            </w:r>
          </w:p>
        </w:tc>
        <w:tc>
          <w:tcPr>
            <w:tcW w:w="2820" w:type="dxa"/>
            <w:noWrap/>
            <w:hideMark/>
          </w:tcPr>
          <w:p w14:paraId="49730493"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3</w:t>
            </w:r>
          </w:p>
        </w:tc>
      </w:tr>
      <w:tr w:rsidR="00007A36" w:rsidRPr="00007A36" w14:paraId="57399681"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36FC6B17" w14:textId="77777777" w:rsidR="00007A36" w:rsidRPr="00007A36" w:rsidRDefault="00007A36" w:rsidP="00007A36">
            <w:pPr>
              <w:widowControl/>
              <w:autoSpaceDE/>
              <w:autoSpaceDN/>
              <w:rPr>
                <w:rFonts w:eastAsia="Times New Roman"/>
                <w:color w:val="000000"/>
              </w:rPr>
            </w:pPr>
            <w:proofErr w:type="spellStart"/>
            <w:r w:rsidRPr="00007A36">
              <w:rPr>
                <w:rFonts w:eastAsia="Times New Roman"/>
                <w:color w:val="000000"/>
              </w:rPr>
              <w:t>Kannah</w:t>
            </w:r>
            <w:proofErr w:type="spellEnd"/>
            <w:r w:rsidRPr="00007A36">
              <w:rPr>
                <w:rFonts w:eastAsia="Times New Roman"/>
                <w:color w:val="000000"/>
              </w:rPr>
              <w:t xml:space="preserve"> Creek</w:t>
            </w:r>
          </w:p>
        </w:tc>
        <w:tc>
          <w:tcPr>
            <w:tcW w:w="1580" w:type="dxa"/>
            <w:noWrap/>
            <w:hideMark/>
          </w:tcPr>
          <w:p w14:paraId="0CA52940"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11,474</w:t>
            </w:r>
          </w:p>
        </w:tc>
        <w:tc>
          <w:tcPr>
            <w:tcW w:w="1900" w:type="dxa"/>
            <w:noWrap/>
            <w:hideMark/>
          </w:tcPr>
          <w:p w14:paraId="372C3233"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1,368</w:t>
            </w:r>
          </w:p>
        </w:tc>
        <w:tc>
          <w:tcPr>
            <w:tcW w:w="1960" w:type="dxa"/>
            <w:noWrap/>
            <w:hideMark/>
          </w:tcPr>
          <w:p w14:paraId="358E9FFA"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239</w:t>
            </w:r>
          </w:p>
        </w:tc>
        <w:tc>
          <w:tcPr>
            <w:tcW w:w="2120" w:type="dxa"/>
            <w:noWrap/>
            <w:hideMark/>
          </w:tcPr>
          <w:p w14:paraId="3B9BFE4E"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255</w:t>
            </w:r>
          </w:p>
        </w:tc>
        <w:tc>
          <w:tcPr>
            <w:tcW w:w="1900" w:type="dxa"/>
            <w:noWrap/>
            <w:hideMark/>
          </w:tcPr>
          <w:p w14:paraId="6A77D0EC"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12</w:t>
            </w:r>
          </w:p>
        </w:tc>
        <w:tc>
          <w:tcPr>
            <w:tcW w:w="1820" w:type="dxa"/>
            <w:noWrap/>
            <w:hideMark/>
          </w:tcPr>
          <w:p w14:paraId="1196DEBB"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w:t>
            </w:r>
          </w:p>
        </w:tc>
        <w:tc>
          <w:tcPr>
            <w:tcW w:w="2820" w:type="dxa"/>
            <w:noWrap/>
            <w:hideMark/>
          </w:tcPr>
          <w:p w14:paraId="63EB5C1C"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w:t>
            </w:r>
          </w:p>
        </w:tc>
      </w:tr>
      <w:tr w:rsidR="00007A36" w:rsidRPr="00007A36" w14:paraId="3C42CBA2"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574FC820"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Lake City</w:t>
            </w:r>
          </w:p>
        </w:tc>
        <w:tc>
          <w:tcPr>
            <w:tcW w:w="1580" w:type="dxa"/>
            <w:noWrap/>
            <w:hideMark/>
          </w:tcPr>
          <w:p w14:paraId="2ABD57BB"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23,789</w:t>
            </w:r>
          </w:p>
        </w:tc>
        <w:tc>
          <w:tcPr>
            <w:tcW w:w="1900" w:type="dxa"/>
            <w:noWrap/>
            <w:hideMark/>
          </w:tcPr>
          <w:p w14:paraId="3CDB6E2F"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539</w:t>
            </w:r>
          </w:p>
        </w:tc>
        <w:tc>
          <w:tcPr>
            <w:tcW w:w="1960" w:type="dxa"/>
            <w:noWrap/>
            <w:hideMark/>
          </w:tcPr>
          <w:p w14:paraId="491EE554"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120</w:t>
            </w:r>
          </w:p>
        </w:tc>
        <w:tc>
          <w:tcPr>
            <w:tcW w:w="2120" w:type="dxa"/>
            <w:noWrap/>
            <w:hideMark/>
          </w:tcPr>
          <w:p w14:paraId="4150A2B4"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1,410</w:t>
            </w:r>
          </w:p>
        </w:tc>
        <w:tc>
          <w:tcPr>
            <w:tcW w:w="1900" w:type="dxa"/>
            <w:noWrap/>
            <w:hideMark/>
          </w:tcPr>
          <w:p w14:paraId="4D7EAF67"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w:t>
            </w:r>
          </w:p>
        </w:tc>
        <w:tc>
          <w:tcPr>
            <w:tcW w:w="1820" w:type="dxa"/>
            <w:noWrap/>
            <w:hideMark/>
          </w:tcPr>
          <w:p w14:paraId="101BDE5C"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0.5</w:t>
            </w:r>
          </w:p>
        </w:tc>
        <w:tc>
          <w:tcPr>
            <w:tcW w:w="2820" w:type="dxa"/>
            <w:noWrap/>
            <w:hideMark/>
          </w:tcPr>
          <w:p w14:paraId="182E1E08"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6</w:t>
            </w:r>
          </w:p>
        </w:tc>
      </w:tr>
      <w:tr w:rsidR="00007A36" w:rsidRPr="00007A36" w14:paraId="413653C6"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98ADE90"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Little Cone</w:t>
            </w:r>
          </w:p>
        </w:tc>
        <w:tc>
          <w:tcPr>
            <w:tcW w:w="1580" w:type="dxa"/>
            <w:noWrap/>
            <w:hideMark/>
          </w:tcPr>
          <w:p w14:paraId="0F893CEA"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20,320</w:t>
            </w:r>
          </w:p>
        </w:tc>
        <w:tc>
          <w:tcPr>
            <w:tcW w:w="1900" w:type="dxa"/>
            <w:noWrap/>
            <w:hideMark/>
          </w:tcPr>
          <w:p w14:paraId="1EF2A77D"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w:t>
            </w:r>
          </w:p>
        </w:tc>
        <w:tc>
          <w:tcPr>
            <w:tcW w:w="1960" w:type="dxa"/>
            <w:noWrap/>
            <w:hideMark/>
          </w:tcPr>
          <w:p w14:paraId="5E102F04"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0.5</w:t>
            </w:r>
          </w:p>
        </w:tc>
        <w:tc>
          <w:tcPr>
            <w:tcW w:w="2120" w:type="dxa"/>
            <w:noWrap/>
            <w:hideMark/>
          </w:tcPr>
          <w:p w14:paraId="2DE886AB"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1,380</w:t>
            </w:r>
          </w:p>
        </w:tc>
        <w:tc>
          <w:tcPr>
            <w:tcW w:w="1900" w:type="dxa"/>
            <w:noWrap/>
            <w:hideMark/>
          </w:tcPr>
          <w:p w14:paraId="4C831C45"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0.01</w:t>
            </w:r>
          </w:p>
        </w:tc>
        <w:tc>
          <w:tcPr>
            <w:tcW w:w="1820" w:type="dxa"/>
            <w:noWrap/>
            <w:hideMark/>
          </w:tcPr>
          <w:p w14:paraId="5CE06E36"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0.002</w:t>
            </w:r>
          </w:p>
        </w:tc>
        <w:tc>
          <w:tcPr>
            <w:tcW w:w="2820" w:type="dxa"/>
            <w:noWrap/>
            <w:hideMark/>
          </w:tcPr>
          <w:p w14:paraId="28F10415"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7</w:t>
            </w:r>
          </w:p>
        </w:tc>
      </w:tr>
      <w:tr w:rsidR="00007A36" w:rsidRPr="00007A36" w14:paraId="623D192B"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5C38AAF8"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lastRenderedPageBreak/>
              <w:t>Lone Cone</w:t>
            </w:r>
          </w:p>
        </w:tc>
        <w:tc>
          <w:tcPr>
            <w:tcW w:w="1580" w:type="dxa"/>
            <w:noWrap/>
            <w:hideMark/>
          </w:tcPr>
          <w:p w14:paraId="0503D659"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23,452</w:t>
            </w:r>
          </w:p>
        </w:tc>
        <w:tc>
          <w:tcPr>
            <w:tcW w:w="1900" w:type="dxa"/>
            <w:noWrap/>
            <w:hideMark/>
          </w:tcPr>
          <w:p w14:paraId="7F42B72C"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369</w:t>
            </w:r>
          </w:p>
        </w:tc>
        <w:tc>
          <w:tcPr>
            <w:tcW w:w="1960" w:type="dxa"/>
            <w:noWrap/>
            <w:hideMark/>
          </w:tcPr>
          <w:p w14:paraId="3D79FE95"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66</w:t>
            </w:r>
          </w:p>
        </w:tc>
        <w:tc>
          <w:tcPr>
            <w:tcW w:w="2120" w:type="dxa"/>
            <w:noWrap/>
            <w:hideMark/>
          </w:tcPr>
          <w:p w14:paraId="0C286DAD"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633</w:t>
            </w:r>
          </w:p>
        </w:tc>
        <w:tc>
          <w:tcPr>
            <w:tcW w:w="1900" w:type="dxa"/>
            <w:noWrap/>
            <w:hideMark/>
          </w:tcPr>
          <w:p w14:paraId="06044DA2"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w:t>
            </w:r>
          </w:p>
        </w:tc>
        <w:tc>
          <w:tcPr>
            <w:tcW w:w="1820" w:type="dxa"/>
            <w:noWrap/>
            <w:hideMark/>
          </w:tcPr>
          <w:p w14:paraId="6E22F3C6"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0.3</w:t>
            </w:r>
          </w:p>
        </w:tc>
        <w:tc>
          <w:tcPr>
            <w:tcW w:w="2820" w:type="dxa"/>
            <w:noWrap/>
            <w:hideMark/>
          </w:tcPr>
          <w:p w14:paraId="4DEEEE69"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3</w:t>
            </w:r>
          </w:p>
        </w:tc>
      </w:tr>
      <w:tr w:rsidR="00007A36" w:rsidRPr="00007A36" w14:paraId="28FB6266"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5CFB7D75"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 xml:space="preserve">Los </w:t>
            </w:r>
            <w:proofErr w:type="spellStart"/>
            <w:r w:rsidRPr="00007A36">
              <w:rPr>
                <w:rFonts w:eastAsia="Times New Roman"/>
                <w:color w:val="000000"/>
              </w:rPr>
              <w:t>Pinos</w:t>
            </w:r>
            <w:proofErr w:type="spellEnd"/>
            <w:r w:rsidRPr="00007A36">
              <w:rPr>
                <w:rFonts w:eastAsia="Times New Roman"/>
                <w:color w:val="000000"/>
              </w:rPr>
              <w:t xml:space="preserve"> Creek</w:t>
            </w:r>
          </w:p>
        </w:tc>
        <w:tc>
          <w:tcPr>
            <w:tcW w:w="1580" w:type="dxa"/>
            <w:noWrap/>
            <w:hideMark/>
          </w:tcPr>
          <w:p w14:paraId="3708CE7E"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21,750</w:t>
            </w:r>
          </w:p>
        </w:tc>
        <w:tc>
          <w:tcPr>
            <w:tcW w:w="1900" w:type="dxa"/>
            <w:noWrap/>
            <w:hideMark/>
          </w:tcPr>
          <w:p w14:paraId="67E67B35"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883</w:t>
            </w:r>
          </w:p>
        </w:tc>
        <w:tc>
          <w:tcPr>
            <w:tcW w:w="1960" w:type="dxa"/>
            <w:noWrap/>
            <w:hideMark/>
          </w:tcPr>
          <w:p w14:paraId="10118C61"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217</w:t>
            </w:r>
          </w:p>
        </w:tc>
        <w:tc>
          <w:tcPr>
            <w:tcW w:w="2120" w:type="dxa"/>
            <w:noWrap/>
            <w:hideMark/>
          </w:tcPr>
          <w:p w14:paraId="0C431CD7"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4,217</w:t>
            </w:r>
          </w:p>
        </w:tc>
        <w:tc>
          <w:tcPr>
            <w:tcW w:w="1900" w:type="dxa"/>
            <w:noWrap/>
            <w:hideMark/>
          </w:tcPr>
          <w:p w14:paraId="05B60F0B"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4</w:t>
            </w:r>
          </w:p>
        </w:tc>
        <w:tc>
          <w:tcPr>
            <w:tcW w:w="1820" w:type="dxa"/>
            <w:noWrap/>
            <w:hideMark/>
          </w:tcPr>
          <w:p w14:paraId="346BCF8C"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1.0</w:t>
            </w:r>
          </w:p>
        </w:tc>
        <w:tc>
          <w:tcPr>
            <w:tcW w:w="2820" w:type="dxa"/>
            <w:noWrap/>
            <w:hideMark/>
          </w:tcPr>
          <w:p w14:paraId="2705EA54"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19</w:t>
            </w:r>
          </w:p>
        </w:tc>
      </w:tr>
      <w:tr w:rsidR="00007A36" w:rsidRPr="00007A36" w14:paraId="607954C0"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4EFA9A47"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Matterhorn</w:t>
            </w:r>
          </w:p>
        </w:tc>
        <w:tc>
          <w:tcPr>
            <w:tcW w:w="1580" w:type="dxa"/>
            <w:noWrap/>
            <w:hideMark/>
          </w:tcPr>
          <w:p w14:paraId="7EFD6A9C"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22,994</w:t>
            </w:r>
          </w:p>
        </w:tc>
        <w:tc>
          <w:tcPr>
            <w:tcW w:w="1900" w:type="dxa"/>
            <w:noWrap/>
            <w:hideMark/>
          </w:tcPr>
          <w:p w14:paraId="5AEFD430"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41</w:t>
            </w:r>
          </w:p>
        </w:tc>
        <w:tc>
          <w:tcPr>
            <w:tcW w:w="1960" w:type="dxa"/>
            <w:noWrap/>
            <w:hideMark/>
          </w:tcPr>
          <w:p w14:paraId="3DAC1678"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10</w:t>
            </w:r>
          </w:p>
        </w:tc>
        <w:tc>
          <w:tcPr>
            <w:tcW w:w="2120" w:type="dxa"/>
            <w:noWrap/>
            <w:hideMark/>
          </w:tcPr>
          <w:p w14:paraId="0DE6DC0E"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468</w:t>
            </w:r>
          </w:p>
        </w:tc>
        <w:tc>
          <w:tcPr>
            <w:tcW w:w="1900" w:type="dxa"/>
            <w:noWrap/>
            <w:hideMark/>
          </w:tcPr>
          <w:p w14:paraId="6C94AC1F"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0.2</w:t>
            </w:r>
          </w:p>
        </w:tc>
        <w:tc>
          <w:tcPr>
            <w:tcW w:w="1820" w:type="dxa"/>
            <w:noWrap/>
            <w:hideMark/>
          </w:tcPr>
          <w:p w14:paraId="1E9C1374"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0.04</w:t>
            </w:r>
          </w:p>
        </w:tc>
        <w:tc>
          <w:tcPr>
            <w:tcW w:w="2820" w:type="dxa"/>
            <w:noWrap/>
            <w:hideMark/>
          </w:tcPr>
          <w:p w14:paraId="64A31C16"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w:t>
            </w:r>
          </w:p>
        </w:tc>
      </w:tr>
      <w:tr w:rsidR="00007A36" w:rsidRPr="00007A36" w14:paraId="284FD31C"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29B54502"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Mesa Lakes</w:t>
            </w:r>
          </w:p>
        </w:tc>
        <w:tc>
          <w:tcPr>
            <w:tcW w:w="1580" w:type="dxa"/>
            <w:noWrap/>
            <w:hideMark/>
          </w:tcPr>
          <w:p w14:paraId="2A252FDA"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17,424</w:t>
            </w:r>
          </w:p>
        </w:tc>
        <w:tc>
          <w:tcPr>
            <w:tcW w:w="1900" w:type="dxa"/>
            <w:noWrap/>
            <w:hideMark/>
          </w:tcPr>
          <w:p w14:paraId="6FA974AA"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387</w:t>
            </w:r>
          </w:p>
        </w:tc>
        <w:tc>
          <w:tcPr>
            <w:tcW w:w="1960" w:type="dxa"/>
            <w:noWrap/>
            <w:hideMark/>
          </w:tcPr>
          <w:p w14:paraId="52ED9FFB"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61</w:t>
            </w:r>
          </w:p>
        </w:tc>
        <w:tc>
          <w:tcPr>
            <w:tcW w:w="2120" w:type="dxa"/>
            <w:noWrap/>
            <w:hideMark/>
          </w:tcPr>
          <w:p w14:paraId="011F54B4"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361</w:t>
            </w:r>
          </w:p>
        </w:tc>
        <w:tc>
          <w:tcPr>
            <w:tcW w:w="1900" w:type="dxa"/>
            <w:noWrap/>
            <w:hideMark/>
          </w:tcPr>
          <w:p w14:paraId="2A011BD0"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w:t>
            </w:r>
          </w:p>
        </w:tc>
        <w:tc>
          <w:tcPr>
            <w:tcW w:w="1820" w:type="dxa"/>
            <w:noWrap/>
            <w:hideMark/>
          </w:tcPr>
          <w:p w14:paraId="0794CAAA"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0.4</w:t>
            </w:r>
          </w:p>
        </w:tc>
        <w:tc>
          <w:tcPr>
            <w:tcW w:w="2820" w:type="dxa"/>
            <w:noWrap/>
            <w:hideMark/>
          </w:tcPr>
          <w:p w14:paraId="722FA167"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w:t>
            </w:r>
          </w:p>
        </w:tc>
      </w:tr>
      <w:tr w:rsidR="00007A36" w:rsidRPr="00007A36" w14:paraId="5C690A71"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19629D96"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Mount Gunnison</w:t>
            </w:r>
          </w:p>
        </w:tc>
        <w:tc>
          <w:tcPr>
            <w:tcW w:w="1580" w:type="dxa"/>
            <w:noWrap/>
            <w:hideMark/>
          </w:tcPr>
          <w:p w14:paraId="774430BF"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20,695</w:t>
            </w:r>
          </w:p>
        </w:tc>
        <w:tc>
          <w:tcPr>
            <w:tcW w:w="1900" w:type="dxa"/>
            <w:noWrap/>
            <w:hideMark/>
          </w:tcPr>
          <w:p w14:paraId="0E0F0481"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1960" w:type="dxa"/>
            <w:noWrap/>
            <w:hideMark/>
          </w:tcPr>
          <w:p w14:paraId="712C78BD"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2120" w:type="dxa"/>
            <w:noWrap/>
            <w:hideMark/>
          </w:tcPr>
          <w:p w14:paraId="5220ED7C"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233</w:t>
            </w:r>
          </w:p>
        </w:tc>
        <w:tc>
          <w:tcPr>
            <w:tcW w:w="1900" w:type="dxa"/>
            <w:noWrap/>
            <w:hideMark/>
          </w:tcPr>
          <w:p w14:paraId="54438D94"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1820" w:type="dxa"/>
            <w:noWrap/>
            <w:hideMark/>
          </w:tcPr>
          <w:p w14:paraId="3E9B574F"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2820" w:type="dxa"/>
            <w:noWrap/>
            <w:hideMark/>
          </w:tcPr>
          <w:p w14:paraId="687144CB"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w:t>
            </w:r>
          </w:p>
        </w:tc>
      </w:tr>
      <w:tr w:rsidR="00007A36" w:rsidRPr="00007A36" w14:paraId="3E183CCB"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44C28411"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Needle-Razor</w:t>
            </w:r>
          </w:p>
        </w:tc>
        <w:tc>
          <w:tcPr>
            <w:tcW w:w="1580" w:type="dxa"/>
            <w:noWrap/>
            <w:hideMark/>
          </w:tcPr>
          <w:p w14:paraId="7551530B"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6,010</w:t>
            </w:r>
          </w:p>
        </w:tc>
        <w:tc>
          <w:tcPr>
            <w:tcW w:w="1900" w:type="dxa"/>
            <w:noWrap/>
            <w:hideMark/>
          </w:tcPr>
          <w:p w14:paraId="4BEBC927"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277</w:t>
            </w:r>
          </w:p>
        </w:tc>
        <w:tc>
          <w:tcPr>
            <w:tcW w:w="1960" w:type="dxa"/>
            <w:noWrap/>
            <w:hideMark/>
          </w:tcPr>
          <w:p w14:paraId="2F90B642"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63</w:t>
            </w:r>
          </w:p>
        </w:tc>
        <w:tc>
          <w:tcPr>
            <w:tcW w:w="2120" w:type="dxa"/>
            <w:noWrap/>
            <w:hideMark/>
          </w:tcPr>
          <w:p w14:paraId="5DACDAB1"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570</w:t>
            </w:r>
          </w:p>
        </w:tc>
        <w:tc>
          <w:tcPr>
            <w:tcW w:w="1900" w:type="dxa"/>
            <w:noWrap/>
            <w:hideMark/>
          </w:tcPr>
          <w:p w14:paraId="4B4E948A"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5</w:t>
            </w:r>
          </w:p>
        </w:tc>
        <w:tc>
          <w:tcPr>
            <w:tcW w:w="1820" w:type="dxa"/>
            <w:noWrap/>
            <w:hideMark/>
          </w:tcPr>
          <w:p w14:paraId="20A53C9D"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w:t>
            </w:r>
          </w:p>
        </w:tc>
        <w:tc>
          <w:tcPr>
            <w:tcW w:w="2820" w:type="dxa"/>
            <w:noWrap/>
            <w:hideMark/>
          </w:tcPr>
          <w:p w14:paraId="7E131BA3"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9</w:t>
            </w:r>
          </w:p>
        </w:tc>
      </w:tr>
      <w:tr w:rsidR="00007A36" w:rsidRPr="00007A36" w14:paraId="56496B3E"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42E105E5"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Peeler Lakes (</w:t>
            </w:r>
            <w:proofErr w:type="spellStart"/>
            <w:r w:rsidRPr="00007A36">
              <w:rPr>
                <w:rFonts w:eastAsia="Times New Roman"/>
                <w:color w:val="000000"/>
              </w:rPr>
              <w:t>Kebler</w:t>
            </w:r>
            <w:proofErr w:type="spellEnd"/>
          </w:p>
        </w:tc>
        <w:tc>
          <w:tcPr>
            <w:tcW w:w="1580" w:type="dxa"/>
            <w:noWrap/>
            <w:hideMark/>
          </w:tcPr>
          <w:p w14:paraId="4DAC0D57"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23,430</w:t>
            </w:r>
          </w:p>
        </w:tc>
        <w:tc>
          <w:tcPr>
            <w:tcW w:w="1900" w:type="dxa"/>
            <w:noWrap/>
            <w:hideMark/>
          </w:tcPr>
          <w:p w14:paraId="5C8892B4"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1960" w:type="dxa"/>
            <w:noWrap/>
            <w:hideMark/>
          </w:tcPr>
          <w:p w14:paraId="7E70E3E5"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2120" w:type="dxa"/>
            <w:noWrap/>
            <w:hideMark/>
          </w:tcPr>
          <w:p w14:paraId="4BE3C698"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1900" w:type="dxa"/>
            <w:noWrap/>
            <w:hideMark/>
          </w:tcPr>
          <w:p w14:paraId="7C469F8A"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1820" w:type="dxa"/>
            <w:noWrap/>
            <w:hideMark/>
          </w:tcPr>
          <w:p w14:paraId="3C6367AC"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2820" w:type="dxa"/>
            <w:noWrap/>
            <w:hideMark/>
          </w:tcPr>
          <w:p w14:paraId="4C8CF2BF"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r>
      <w:tr w:rsidR="00007A36" w:rsidRPr="00007A36" w14:paraId="78BD8EBC"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59A40BE7"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Pitkin</w:t>
            </w:r>
          </w:p>
        </w:tc>
        <w:tc>
          <w:tcPr>
            <w:tcW w:w="1580" w:type="dxa"/>
            <w:noWrap/>
            <w:hideMark/>
          </w:tcPr>
          <w:p w14:paraId="056989B8"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26,075</w:t>
            </w:r>
          </w:p>
        </w:tc>
        <w:tc>
          <w:tcPr>
            <w:tcW w:w="1900" w:type="dxa"/>
            <w:noWrap/>
            <w:hideMark/>
          </w:tcPr>
          <w:p w14:paraId="3CD5016E"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960" w:type="dxa"/>
            <w:noWrap/>
            <w:hideMark/>
          </w:tcPr>
          <w:p w14:paraId="52A4AB88"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120" w:type="dxa"/>
            <w:noWrap/>
            <w:hideMark/>
          </w:tcPr>
          <w:p w14:paraId="125560B1"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2,101</w:t>
            </w:r>
          </w:p>
        </w:tc>
        <w:tc>
          <w:tcPr>
            <w:tcW w:w="1900" w:type="dxa"/>
            <w:noWrap/>
            <w:hideMark/>
          </w:tcPr>
          <w:p w14:paraId="706B296F"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820" w:type="dxa"/>
            <w:noWrap/>
            <w:hideMark/>
          </w:tcPr>
          <w:p w14:paraId="5A217DEF"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820" w:type="dxa"/>
            <w:noWrap/>
            <w:hideMark/>
          </w:tcPr>
          <w:p w14:paraId="51E92858"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8</w:t>
            </w:r>
          </w:p>
        </w:tc>
      </w:tr>
      <w:tr w:rsidR="00007A36" w:rsidRPr="00007A36" w14:paraId="6288D192"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1B19A92D"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Ragged Mountain</w:t>
            </w:r>
          </w:p>
        </w:tc>
        <w:tc>
          <w:tcPr>
            <w:tcW w:w="1580" w:type="dxa"/>
            <w:noWrap/>
            <w:hideMark/>
          </w:tcPr>
          <w:p w14:paraId="427BE5F6"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9,862</w:t>
            </w:r>
          </w:p>
        </w:tc>
        <w:tc>
          <w:tcPr>
            <w:tcW w:w="1900" w:type="dxa"/>
            <w:noWrap/>
            <w:hideMark/>
          </w:tcPr>
          <w:p w14:paraId="2631D434"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1960" w:type="dxa"/>
            <w:noWrap/>
            <w:hideMark/>
          </w:tcPr>
          <w:p w14:paraId="60A68D74"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2120" w:type="dxa"/>
            <w:noWrap/>
            <w:hideMark/>
          </w:tcPr>
          <w:p w14:paraId="708D8EAD"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61</w:t>
            </w:r>
          </w:p>
        </w:tc>
        <w:tc>
          <w:tcPr>
            <w:tcW w:w="1900" w:type="dxa"/>
            <w:noWrap/>
            <w:hideMark/>
          </w:tcPr>
          <w:p w14:paraId="01A78680"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1820" w:type="dxa"/>
            <w:noWrap/>
            <w:hideMark/>
          </w:tcPr>
          <w:p w14:paraId="12DF9586"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2820" w:type="dxa"/>
            <w:noWrap/>
            <w:hideMark/>
          </w:tcPr>
          <w:p w14:paraId="2677F1ED"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w:t>
            </w:r>
          </w:p>
        </w:tc>
      </w:tr>
      <w:tr w:rsidR="00007A36" w:rsidRPr="00007A36" w14:paraId="064455E7"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35DCC6A3"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Red Creek</w:t>
            </w:r>
          </w:p>
        </w:tc>
        <w:tc>
          <w:tcPr>
            <w:tcW w:w="1580" w:type="dxa"/>
            <w:noWrap/>
            <w:hideMark/>
          </w:tcPr>
          <w:p w14:paraId="71BD2F48"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38,219</w:t>
            </w:r>
          </w:p>
        </w:tc>
        <w:tc>
          <w:tcPr>
            <w:tcW w:w="1900" w:type="dxa"/>
            <w:noWrap/>
            <w:hideMark/>
          </w:tcPr>
          <w:p w14:paraId="01CBD5B8"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1,468</w:t>
            </w:r>
          </w:p>
        </w:tc>
        <w:tc>
          <w:tcPr>
            <w:tcW w:w="1960" w:type="dxa"/>
            <w:noWrap/>
            <w:hideMark/>
          </w:tcPr>
          <w:p w14:paraId="03D2B15D"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220</w:t>
            </w:r>
          </w:p>
        </w:tc>
        <w:tc>
          <w:tcPr>
            <w:tcW w:w="2120" w:type="dxa"/>
            <w:noWrap/>
            <w:hideMark/>
          </w:tcPr>
          <w:p w14:paraId="44EAF522"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4,008</w:t>
            </w:r>
          </w:p>
        </w:tc>
        <w:tc>
          <w:tcPr>
            <w:tcW w:w="1900" w:type="dxa"/>
            <w:noWrap/>
            <w:hideMark/>
          </w:tcPr>
          <w:p w14:paraId="04CAFA9A"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4</w:t>
            </w:r>
          </w:p>
        </w:tc>
        <w:tc>
          <w:tcPr>
            <w:tcW w:w="1820" w:type="dxa"/>
            <w:noWrap/>
            <w:hideMark/>
          </w:tcPr>
          <w:p w14:paraId="79FCA7A7"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0.6</w:t>
            </w:r>
          </w:p>
        </w:tc>
        <w:tc>
          <w:tcPr>
            <w:tcW w:w="2820" w:type="dxa"/>
            <w:noWrap/>
            <w:hideMark/>
          </w:tcPr>
          <w:p w14:paraId="6CB8BD55"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10</w:t>
            </w:r>
          </w:p>
        </w:tc>
      </w:tr>
      <w:tr w:rsidR="00007A36" w:rsidRPr="00007A36" w14:paraId="53FC543E"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06A02150"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Rocky Brook</w:t>
            </w:r>
          </w:p>
        </w:tc>
        <w:tc>
          <w:tcPr>
            <w:tcW w:w="1580" w:type="dxa"/>
            <w:noWrap/>
            <w:hideMark/>
          </w:tcPr>
          <w:p w14:paraId="482ABBD9"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37,910</w:t>
            </w:r>
          </w:p>
        </w:tc>
        <w:tc>
          <w:tcPr>
            <w:tcW w:w="1900" w:type="dxa"/>
            <w:noWrap/>
            <w:hideMark/>
          </w:tcPr>
          <w:p w14:paraId="2A75601B"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847</w:t>
            </w:r>
          </w:p>
        </w:tc>
        <w:tc>
          <w:tcPr>
            <w:tcW w:w="1960" w:type="dxa"/>
            <w:noWrap/>
            <w:hideMark/>
          </w:tcPr>
          <w:p w14:paraId="73F4B157"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128</w:t>
            </w:r>
          </w:p>
        </w:tc>
        <w:tc>
          <w:tcPr>
            <w:tcW w:w="2120" w:type="dxa"/>
            <w:noWrap/>
            <w:hideMark/>
          </w:tcPr>
          <w:p w14:paraId="0D444607"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1,227</w:t>
            </w:r>
          </w:p>
        </w:tc>
        <w:tc>
          <w:tcPr>
            <w:tcW w:w="1900" w:type="dxa"/>
            <w:noWrap/>
            <w:hideMark/>
          </w:tcPr>
          <w:p w14:paraId="0F3F31EB"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w:t>
            </w:r>
          </w:p>
        </w:tc>
        <w:tc>
          <w:tcPr>
            <w:tcW w:w="1820" w:type="dxa"/>
            <w:noWrap/>
            <w:hideMark/>
          </w:tcPr>
          <w:p w14:paraId="066AC0C4"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0.3</w:t>
            </w:r>
          </w:p>
        </w:tc>
        <w:tc>
          <w:tcPr>
            <w:tcW w:w="2820" w:type="dxa"/>
            <w:noWrap/>
            <w:hideMark/>
          </w:tcPr>
          <w:p w14:paraId="4871E21D"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3</w:t>
            </w:r>
          </w:p>
        </w:tc>
      </w:tr>
      <w:tr w:rsidR="00007A36" w:rsidRPr="00007A36" w14:paraId="22EF7D79"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1238A2F9"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Sawtooth Mountain</w:t>
            </w:r>
          </w:p>
        </w:tc>
        <w:tc>
          <w:tcPr>
            <w:tcW w:w="1580" w:type="dxa"/>
            <w:noWrap/>
            <w:hideMark/>
          </w:tcPr>
          <w:p w14:paraId="21D0D2C5"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24,196</w:t>
            </w:r>
          </w:p>
        </w:tc>
        <w:tc>
          <w:tcPr>
            <w:tcW w:w="1900" w:type="dxa"/>
            <w:noWrap/>
            <w:hideMark/>
          </w:tcPr>
          <w:p w14:paraId="63329EC4"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960" w:type="dxa"/>
            <w:noWrap/>
            <w:hideMark/>
          </w:tcPr>
          <w:p w14:paraId="28019ED2"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120" w:type="dxa"/>
            <w:noWrap/>
            <w:hideMark/>
          </w:tcPr>
          <w:p w14:paraId="61369B0E"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1,583</w:t>
            </w:r>
          </w:p>
        </w:tc>
        <w:tc>
          <w:tcPr>
            <w:tcW w:w="1900" w:type="dxa"/>
            <w:noWrap/>
            <w:hideMark/>
          </w:tcPr>
          <w:p w14:paraId="06E74DD8"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820" w:type="dxa"/>
            <w:noWrap/>
            <w:hideMark/>
          </w:tcPr>
          <w:p w14:paraId="72A1FE34"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820" w:type="dxa"/>
            <w:noWrap/>
            <w:hideMark/>
          </w:tcPr>
          <w:p w14:paraId="4BA20D92"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7</w:t>
            </w:r>
          </w:p>
        </w:tc>
      </w:tr>
      <w:tr w:rsidR="00007A36" w:rsidRPr="00007A36" w14:paraId="5428BE64"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58AD3FDB"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Soap Creek</w:t>
            </w:r>
          </w:p>
        </w:tc>
        <w:tc>
          <w:tcPr>
            <w:tcW w:w="1580" w:type="dxa"/>
            <w:noWrap/>
            <w:hideMark/>
          </w:tcPr>
          <w:p w14:paraId="0977978B"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34,402</w:t>
            </w:r>
          </w:p>
        </w:tc>
        <w:tc>
          <w:tcPr>
            <w:tcW w:w="1900" w:type="dxa"/>
            <w:noWrap/>
            <w:hideMark/>
          </w:tcPr>
          <w:p w14:paraId="4BFD60F3"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1960" w:type="dxa"/>
            <w:noWrap/>
            <w:hideMark/>
          </w:tcPr>
          <w:p w14:paraId="527D1F9F"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2120" w:type="dxa"/>
            <w:noWrap/>
            <w:hideMark/>
          </w:tcPr>
          <w:p w14:paraId="2532EC55"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2,855</w:t>
            </w:r>
          </w:p>
        </w:tc>
        <w:tc>
          <w:tcPr>
            <w:tcW w:w="1900" w:type="dxa"/>
            <w:noWrap/>
            <w:hideMark/>
          </w:tcPr>
          <w:p w14:paraId="2DA13CFD"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1820" w:type="dxa"/>
            <w:noWrap/>
            <w:hideMark/>
          </w:tcPr>
          <w:p w14:paraId="1DAD9406"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2820" w:type="dxa"/>
            <w:noWrap/>
            <w:hideMark/>
          </w:tcPr>
          <w:p w14:paraId="2714630D"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8</w:t>
            </w:r>
          </w:p>
        </w:tc>
      </w:tr>
      <w:tr w:rsidR="00007A36" w:rsidRPr="00007A36" w14:paraId="65F77B77"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3A1CE5E9"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 xml:space="preserve">South </w:t>
            </w:r>
            <w:proofErr w:type="spellStart"/>
            <w:r w:rsidRPr="00007A36">
              <w:rPr>
                <w:rFonts w:eastAsia="Times New Roman"/>
                <w:color w:val="000000"/>
              </w:rPr>
              <w:t>Mamm</w:t>
            </w:r>
            <w:proofErr w:type="spellEnd"/>
            <w:r w:rsidRPr="00007A36">
              <w:rPr>
                <w:rFonts w:eastAsia="Times New Roman"/>
                <w:color w:val="000000"/>
              </w:rPr>
              <w:t xml:space="preserve"> Peak</w:t>
            </w:r>
          </w:p>
        </w:tc>
        <w:tc>
          <w:tcPr>
            <w:tcW w:w="1580" w:type="dxa"/>
            <w:noWrap/>
            <w:hideMark/>
          </w:tcPr>
          <w:p w14:paraId="01ACDE7C"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6,507</w:t>
            </w:r>
          </w:p>
        </w:tc>
        <w:tc>
          <w:tcPr>
            <w:tcW w:w="1900" w:type="dxa"/>
            <w:noWrap/>
            <w:hideMark/>
          </w:tcPr>
          <w:p w14:paraId="5FDFEF6C"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960" w:type="dxa"/>
            <w:noWrap/>
            <w:hideMark/>
          </w:tcPr>
          <w:p w14:paraId="2CF0DACE"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120" w:type="dxa"/>
            <w:noWrap/>
            <w:hideMark/>
          </w:tcPr>
          <w:p w14:paraId="2F06CFC7"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60</w:t>
            </w:r>
          </w:p>
        </w:tc>
        <w:tc>
          <w:tcPr>
            <w:tcW w:w="1900" w:type="dxa"/>
            <w:noWrap/>
            <w:hideMark/>
          </w:tcPr>
          <w:p w14:paraId="335DCEF3"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820" w:type="dxa"/>
            <w:noWrap/>
            <w:hideMark/>
          </w:tcPr>
          <w:p w14:paraId="30D908F6"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820" w:type="dxa"/>
            <w:noWrap/>
            <w:hideMark/>
          </w:tcPr>
          <w:p w14:paraId="11398030"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w:t>
            </w:r>
          </w:p>
        </w:tc>
      </w:tr>
      <w:tr w:rsidR="00007A36" w:rsidRPr="00007A36" w14:paraId="24D2F609"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2486FC0"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Spring Creek</w:t>
            </w:r>
          </w:p>
        </w:tc>
        <w:tc>
          <w:tcPr>
            <w:tcW w:w="1580" w:type="dxa"/>
            <w:noWrap/>
            <w:hideMark/>
          </w:tcPr>
          <w:p w14:paraId="0FF40BB1"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27,448</w:t>
            </w:r>
          </w:p>
        </w:tc>
        <w:tc>
          <w:tcPr>
            <w:tcW w:w="1900" w:type="dxa"/>
            <w:noWrap/>
            <w:hideMark/>
          </w:tcPr>
          <w:p w14:paraId="20715135"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443</w:t>
            </w:r>
          </w:p>
        </w:tc>
        <w:tc>
          <w:tcPr>
            <w:tcW w:w="1960" w:type="dxa"/>
            <w:noWrap/>
            <w:hideMark/>
          </w:tcPr>
          <w:p w14:paraId="364511CE"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88</w:t>
            </w:r>
          </w:p>
        </w:tc>
        <w:tc>
          <w:tcPr>
            <w:tcW w:w="2120" w:type="dxa"/>
            <w:noWrap/>
            <w:hideMark/>
          </w:tcPr>
          <w:p w14:paraId="12C8E47B"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246</w:t>
            </w:r>
          </w:p>
        </w:tc>
        <w:tc>
          <w:tcPr>
            <w:tcW w:w="1900" w:type="dxa"/>
            <w:noWrap/>
            <w:hideMark/>
          </w:tcPr>
          <w:p w14:paraId="3FF1F197"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w:t>
            </w:r>
          </w:p>
        </w:tc>
        <w:tc>
          <w:tcPr>
            <w:tcW w:w="1820" w:type="dxa"/>
            <w:noWrap/>
            <w:hideMark/>
          </w:tcPr>
          <w:p w14:paraId="3FCDFC75"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0.3</w:t>
            </w:r>
          </w:p>
        </w:tc>
        <w:tc>
          <w:tcPr>
            <w:tcW w:w="2820" w:type="dxa"/>
            <w:noWrap/>
            <w:hideMark/>
          </w:tcPr>
          <w:p w14:paraId="5C5ADCBC"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w:t>
            </w:r>
          </w:p>
        </w:tc>
      </w:tr>
      <w:tr w:rsidR="00007A36" w:rsidRPr="00007A36" w14:paraId="7E49E07C"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4C3573A9"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Stewart Creek</w:t>
            </w:r>
          </w:p>
        </w:tc>
        <w:tc>
          <w:tcPr>
            <w:tcW w:w="1580" w:type="dxa"/>
            <w:noWrap/>
            <w:hideMark/>
          </w:tcPr>
          <w:p w14:paraId="39A303AB"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30,874</w:t>
            </w:r>
          </w:p>
        </w:tc>
        <w:tc>
          <w:tcPr>
            <w:tcW w:w="1900" w:type="dxa"/>
            <w:noWrap/>
            <w:hideMark/>
          </w:tcPr>
          <w:p w14:paraId="3DD098D4"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635</w:t>
            </w:r>
          </w:p>
        </w:tc>
        <w:tc>
          <w:tcPr>
            <w:tcW w:w="1960" w:type="dxa"/>
            <w:noWrap/>
            <w:hideMark/>
          </w:tcPr>
          <w:p w14:paraId="0683D177"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159</w:t>
            </w:r>
          </w:p>
        </w:tc>
        <w:tc>
          <w:tcPr>
            <w:tcW w:w="2120" w:type="dxa"/>
            <w:noWrap/>
            <w:hideMark/>
          </w:tcPr>
          <w:p w14:paraId="0A076A8C"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12,296</w:t>
            </w:r>
          </w:p>
        </w:tc>
        <w:tc>
          <w:tcPr>
            <w:tcW w:w="1900" w:type="dxa"/>
            <w:noWrap/>
            <w:hideMark/>
          </w:tcPr>
          <w:p w14:paraId="598F25B2"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w:t>
            </w:r>
          </w:p>
        </w:tc>
        <w:tc>
          <w:tcPr>
            <w:tcW w:w="1820" w:type="dxa"/>
            <w:noWrap/>
            <w:hideMark/>
          </w:tcPr>
          <w:p w14:paraId="63A5F747"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0.5</w:t>
            </w:r>
          </w:p>
        </w:tc>
        <w:tc>
          <w:tcPr>
            <w:tcW w:w="2820" w:type="dxa"/>
            <w:noWrap/>
            <w:hideMark/>
          </w:tcPr>
          <w:p w14:paraId="710C41EC"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40</w:t>
            </w:r>
          </w:p>
        </w:tc>
      </w:tr>
      <w:tr w:rsidR="00007A36" w:rsidRPr="00007A36" w14:paraId="055CBAFF"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7335E8A9"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The Flat Tops</w:t>
            </w:r>
          </w:p>
        </w:tc>
        <w:tc>
          <w:tcPr>
            <w:tcW w:w="1580" w:type="dxa"/>
            <w:noWrap/>
            <w:hideMark/>
          </w:tcPr>
          <w:p w14:paraId="762B7FB8"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31,559</w:t>
            </w:r>
          </w:p>
        </w:tc>
        <w:tc>
          <w:tcPr>
            <w:tcW w:w="1900" w:type="dxa"/>
            <w:noWrap/>
            <w:hideMark/>
          </w:tcPr>
          <w:p w14:paraId="7DCFBE6F"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w:t>
            </w:r>
          </w:p>
        </w:tc>
        <w:tc>
          <w:tcPr>
            <w:tcW w:w="1960" w:type="dxa"/>
            <w:noWrap/>
            <w:hideMark/>
          </w:tcPr>
          <w:p w14:paraId="25C9ADA0"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0.25</w:t>
            </w:r>
          </w:p>
        </w:tc>
        <w:tc>
          <w:tcPr>
            <w:tcW w:w="2120" w:type="dxa"/>
            <w:noWrap/>
            <w:hideMark/>
          </w:tcPr>
          <w:p w14:paraId="45168BFF"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428</w:t>
            </w:r>
          </w:p>
        </w:tc>
        <w:tc>
          <w:tcPr>
            <w:tcW w:w="1900" w:type="dxa"/>
            <w:noWrap/>
            <w:hideMark/>
          </w:tcPr>
          <w:p w14:paraId="0D058A4F"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0.003</w:t>
            </w:r>
          </w:p>
        </w:tc>
        <w:tc>
          <w:tcPr>
            <w:tcW w:w="1820" w:type="dxa"/>
            <w:noWrap/>
            <w:hideMark/>
          </w:tcPr>
          <w:p w14:paraId="2897B5EB"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0.0008</w:t>
            </w:r>
          </w:p>
        </w:tc>
        <w:tc>
          <w:tcPr>
            <w:tcW w:w="2820" w:type="dxa"/>
            <w:noWrap/>
            <w:hideMark/>
          </w:tcPr>
          <w:p w14:paraId="5F2ABB35"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w:t>
            </w:r>
          </w:p>
        </w:tc>
      </w:tr>
      <w:tr w:rsidR="00007A36" w:rsidRPr="00007A36" w14:paraId="72390819"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517E7AD7" w14:textId="77777777" w:rsidR="00007A36" w:rsidRPr="00007A36" w:rsidRDefault="00007A36" w:rsidP="00007A36">
            <w:pPr>
              <w:widowControl/>
              <w:autoSpaceDE/>
              <w:autoSpaceDN/>
              <w:rPr>
                <w:rFonts w:eastAsia="Times New Roman"/>
                <w:color w:val="000000"/>
              </w:rPr>
            </w:pPr>
            <w:proofErr w:type="spellStart"/>
            <w:r w:rsidRPr="00007A36">
              <w:rPr>
                <w:rFonts w:eastAsia="Times New Roman"/>
                <w:color w:val="000000"/>
              </w:rPr>
              <w:t>Tincup</w:t>
            </w:r>
            <w:proofErr w:type="spellEnd"/>
          </w:p>
        </w:tc>
        <w:tc>
          <w:tcPr>
            <w:tcW w:w="1580" w:type="dxa"/>
            <w:noWrap/>
            <w:hideMark/>
          </w:tcPr>
          <w:p w14:paraId="7C3B5867"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34,925</w:t>
            </w:r>
          </w:p>
        </w:tc>
        <w:tc>
          <w:tcPr>
            <w:tcW w:w="1900" w:type="dxa"/>
            <w:noWrap/>
            <w:hideMark/>
          </w:tcPr>
          <w:p w14:paraId="0BBB6081"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177</w:t>
            </w:r>
          </w:p>
        </w:tc>
        <w:tc>
          <w:tcPr>
            <w:tcW w:w="1960" w:type="dxa"/>
            <w:noWrap/>
            <w:hideMark/>
          </w:tcPr>
          <w:p w14:paraId="2E71FCB9"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30</w:t>
            </w:r>
          </w:p>
        </w:tc>
        <w:tc>
          <w:tcPr>
            <w:tcW w:w="2120" w:type="dxa"/>
            <w:noWrap/>
            <w:hideMark/>
          </w:tcPr>
          <w:p w14:paraId="65F90019"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1,491</w:t>
            </w:r>
          </w:p>
        </w:tc>
        <w:tc>
          <w:tcPr>
            <w:tcW w:w="1900" w:type="dxa"/>
            <w:noWrap/>
            <w:hideMark/>
          </w:tcPr>
          <w:p w14:paraId="1C85B672"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0.5</w:t>
            </w:r>
          </w:p>
        </w:tc>
        <w:tc>
          <w:tcPr>
            <w:tcW w:w="1820" w:type="dxa"/>
            <w:noWrap/>
            <w:hideMark/>
          </w:tcPr>
          <w:p w14:paraId="50B4F473"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0.08</w:t>
            </w:r>
          </w:p>
        </w:tc>
        <w:tc>
          <w:tcPr>
            <w:tcW w:w="2820" w:type="dxa"/>
            <w:noWrap/>
            <w:hideMark/>
          </w:tcPr>
          <w:p w14:paraId="4912D317"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4</w:t>
            </w:r>
          </w:p>
        </w:tc>
      </w:tr>
      <w:tr w:rsidR="00007A36" w:rsidRPr="00007A36" w14:paraId="253800F8"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10F892C2"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Traver Mesa NEW</w:t>
            </w:r>
          </w:p>
        </w:tc>
        <w:tc>
          <w:tcPr>
            <w:tcW w:w="1580" w:type="dxa"/>
            <w:noWrap/>
            <w:hideMark/>
          </w:tcPr>
          <w:p w14:paraId="2B22D0B4"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27,305</w:t>
            </w:r>
          </w:p>
        </w:tc>
        <w:tc>
          <w:tcPr>
            <w:tcW w:w="1900" w:type="dxa"/>
            <w:noWrap/>
            <w:hideMark/>
          </w:tcPr>
          <w:p w14:paraId="71AD5404"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1,945</w:t>
            </w:r>
          </w:p>
        </w:tc>
        <w:tc>
          <w:tcPr>
            <w:tcW w:w="1960" w:type="dxa"/>
            <w:noWrap/>
            <w:hideMark/>
          </w:tcPr>
          <w:p w14:paraId="217D1A5C"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329</w:t>
            </w:r>
          </w:p>
        </w:tc>
        <w:tc>
          <w:tcPr>
            <w:tcW w:w="2120" w:type="dxa"/>
            <w:noWrap/>
            <w:hideMark/>
          </w:tcPr>
          <w:p w14:paraId="57690D78"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516</w:t>
            </w:r>
          </w:p>
        </w:tc>
        <w:tc>
          <w:tcPr>
            <w:tcW w:w="1900" w:type="dxa"/>
            <w:noWrap/>
            <w:hideMark/>
          </w:tcPr>
          <w:p w14:paraId="74368A75"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7</w:t>
            </w:r>
          </w:p>
        </w:tc>
        <w:tc>
          <w:tcPr>
            <w:tcW w:w="1820" w:type="dxa"/>
            <w:noWrap/>
            <w:hideMark/>
          </w:tcPr>
          <w:p w14:paraId="6B6AB0D9"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w:t>
            </w:r>
          </w:p>
        </w:tc>
        <w:tc>
          <w:tcPr>
            <w:tcW w:w="2820" w:type="dxa"/>
            <w:noWrap/>
            <w:hideMark/>
          </w:tcPr>
          <w:p w14:paraId="770F68E5"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w:t>
            </w:r>
          </w:p>
        </w:tc>
      </w:tr>
      <w:tr w:rsidR="00007A36" w:rsidRPr="00007A36" w14:paraId="07231932"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7089F399"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Turret Ridge</w:t>
            </w:r>
          </w:p>
        </w:tc>
        <w:tc>
          <w:tcPr>
            <w:tcW w:w="1580" w:type="dxa"/>
            <w:noWrap/>
            <w:hideMark/>
          </w:tcPr>
          <w:p w14:paraId="775315B0"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28,369</w:t>
            </w:r>
          </w:p>
        </w:tc>
        <w:tc>
          <w:tcPr>
            <w:tcW w:w="1900" w:type="dxa"/>
            <w:noWrap/>
            <w:hideMark/>
          </w:tcPr>
          <w:p w14:paraId="4973EA5D"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960" w:type="dxa"/>
            <w:noWrap/>
            <w:hideMark/>
          </w:tcPr>
          <w:p w14:paraId="7EF2BB23"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120" w:type="dxa"/>
            <w:noWrap/>
            <w:hideMark/>
          </w:tcPr>
          <w:p w14:paraId="41022740"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744</w:t>
            </w:r>
          </w:p>
        </w:tc>
        <w:tc>
          <w:tcPr>
            <w:tcW w:w="1900" w:type="dxa"/>
            <w:noWrap/>
            <w:hideMark/>
          </w:tcPr>
          <w:p w14:paraId="0AA88DB5"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820" w:type="dxa"/>
            <w:noWrap/>
            <w:hideMark/>
          </w:tcPr>
          <w:p w14:paraId="7F5108DB"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820" w:type="dxa"/>
            <w:noWrap/>
            <w:hideMark/>
          </w:tcPr>
          <w:p w14:paraId="62CDAAEC"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3</w:t>
            </w:r>
          </w:p>
        </w:tc>
      </w:tr>
      <w:tr w:rsidR="00007A36" w:rsidRPr="00007A36" w14:paraId="1B8ED3D7"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688A577F"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Upper Taylor</w:t>
            </w:r>
          </w:p>
        </w:tc>
        <w:tc>
          <w:tcPr>
            <w:tcW w:w="1580" w:type="dxa"/>
            <w:noWrap/>
            <w:hideMark/>
          </w:tcPr>
          <w:p w14:paraId="1E4B9627"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26,143</w:t>
            </w:r>
          </w:p>
        </w:tc>
        <w:tc>
          <w:tcPr>
            <w:tcW w:w="1900" w:type="dxa"/>
            <w:noWrap/>
            <w:hideMark/>
          </w:tcPr>
          <w:p w14:paraId="54CC290A"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1960" w:type="dxa"/>
            <w:noWrap/>
            <w:hideMark/>
          </w:tcPr>
          <w:p w14:paraId="374F3A6D"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2120" w:type="dxa"/>
            <w:noWrap/>
            <w:hideMark/>
          </w:tcPr>
          <w:p w14:paraId="7581409C"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888</w:t>
            </w:r>
          </w:p>
        </w:tc>
        <w:tc>
          <w:tcPr>
            <w:tcW w:w="1900" w:type="dxa"/>
            <w:noWrap/>
            <w:hideMark/>
          </w:tcPr>
          <w:p w14:paraId="7A9898C7"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1820" w:type="dxa"/>
            <w:noWrap/>
            <w:hideMark/>
          </w:tcPr>
          <w:p w14:paraId="4B2A1117"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2820" w:type="dxa"/>
            <w:noWrap/>
            <w:hideMark/>
          </w:tcPr>
          <w:p w14:paraId="27DE7081"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3</w:t>
            </w:r>
          </w:p>
        </w:tc>
      </w:tr>
      <w:tr w:rsidR="00007A36" w:rsidRPr="00007A36" w14:paraId="57A571D5"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5161A3D0"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Upper Tomichi</w:t>
            </w:r>
          </w:p>
        </w:tc>
        <w:tc>
          <w:tcPr>
            <w:tcW w:w="1580" w:type="dxa"/>
            <w:noWrap/>
            <w:hideMark/>
          </w:tcPr>
          <w:p w14:paraId="29D6520F"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18,043</w:t>
            </w:r>
          </w:p>
        </w:tc>
        <w:tc>
          <w:tcPr>
            <w:tcW w:w="1900" w:type="dxa"/>
            <w:noWrap/>
            <w:hideMark/>
          </w:tcPr>
          <w:p w14:paraId="1E16C7B8"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960" w:type="dxa"/>
            <w:noWrap/>
            <w:hideMark/>
          </w:tcPr>
          <w:p w14:paraId="6AF88F25"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120" w:type="dxa"/>
            <w:noWrap/>
            <w:hideMark/>
          </w:tcPr>
          <w:p w14:paraId="5C986C36"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1,741</w:t>
            </w:r>
          </w:p>
        </w:tc>
        <w:tc>
          <w:tcPr>
            <w:tcW w:w="1900" w:type="dxa"/>
            <w:noWrap/>
            <w:hideMark/>
          </w:tcPr>
          <w:p w14:paraId="5E7C3180"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820" w:type="dxa"/>
            <w:noWrap/>
            <w:hideMark/>
          </w:tcPr>
          <w:p w14:paraId="5D83EC31"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820" w:type="dxa"/>
            <w:noWrap/>
            <w:hideMark/>
          </w:tcPr>
          <w:p w14:paraId="2908F4D6"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10</w:t>
            </w:r>
          </w:p>
        </w:tc>
      </w:tr>
      <w:tr w:rsidR="00007A36" w:rsidRPr="00007A36" w14:paraId="789ECC60" w14:textId="77777777" w:rsidTr="00007A36">
        <w:trPr>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010CEC26"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Whetstone Peak</w:t>
            </w:r>
          </w:p>
        </w:tc>
        <w:tc>
          <w:tcPr>
            <w:tcW w:w="1580" w:type="dxa"/>
            <w:noWrap/>
            <w:hideMark/>
          </w:tcPr>
          <w:p w14:paraId="67CC1344"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15,985</w:t>
            </w:r>
          </w:p>
        </w:tc>
        <w:tc>
          <w:tcPr>
            <w:tcW w:w="1900" w:type="dxa"/>
            <w:noWrap/>
            <w:hideMark/>
          </w:tcPr>
          <w:p w14:paraId="1B0C1104"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1960" w:type="dxa"/>
            <w:noWrap/>
            <w:hideMark/>
          </w:tcPr>
          <w:p w14:paraId="38F58851"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2120" w:type="dxa"/>
            <w:noWrap/>
            <w:hideMark/>
          </w:tcPr>
          <w:p w14:paraId="3E7B584D"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244</w:t>
            </w:r>
          </w:p>
        </w:tc>
        <w:tc>
          <w:tcPr>
            <w:tcW w:w="1900" w:type="dxa"/>
            <w:noWrap/>
            <w:hideMark/>
          </w:tcPr>
          <w:p w14:paraId="1CF769C0"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1820" w:type="dxa"/>
            <w:noWrap/>
            <w:hideMark/>
          </w:tcPr>
          <w:p w14:paraId="5AA0B42E"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0</w:t>
            </w:r>
          </w:p>
        </w:tc>
        <w:tc>
          <w:tcPr>
            <w:tcW w:w="2820" w:type="dxa"/>
            <w:noWrap/>
            <w:hideMark/>
          </w:tcPr>
          <w:p w14:paraId="622D22D9" w14:textId="77777777" w:rsidR="00007A36" w:rsidRPr="00007A36" w:rsidRDefault="00007A36" w:rsidP="00007A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07A36">
              <w:rPr>
                <w:rFonts w:eastAsia="Times New Roman"/>
                <w:color w:val="000000"/>
              </w:rPr>
              <w:t>2</w:t>
            </w:r>
          </w:p>
        </w:tc>
      </w:tr>
      <w:tr w:rsidR="00007A36" w:rsidRPr="00007A36" w14:paraId="2A9C1EC6" w14:textId="77777777" w:rsidTr="00007A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20" w:type="dxa"/>
            <w:noWrap/>
            <w:hideMark/>
          </w:tcPr>
          <w:p w14:paraId="7F136E24" w14:textId="77777777" w:rsidR="00007A36" w:rsidRPr="00007A36" w:rsidRDefault="00007A36" w:rsidP="00007A36">
            <w:pPr>
              <w:widowControl/>
              <w:autoSpaceDE/>
              <w:autoSpaceDN/>
              <w:rPr>
                <w:rFonts w:eastAsia="Times New Roman"/>
                <w:color w:val="000000"/>
              </w:rPr>
            </w:pPr>
            <w:r w:rsidRPr="00007A36">
              <w:rPr>
                <w:rFonts w:eastAsia="Times New Roman"/>
                <w:color w:val="000000"/>
              </w:rPr>
              <w:t>Whitecross Mtn</w:t>
            </w:r>
          </w:p>
        </w:tc>
        <w:tc>
          <w:tcPr>
            <w:tcW w:w="1580" w:type="dxa"/>
            <w:noWrap/>
            <w:hideMark/>
          </w:tcPr>
          <w:p w14:paraId="2775513E"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6,836</w:t>
            </w:r>
          </w:p>
        </w:tc>
        <w:tc>
          <w:tcPr>
            <w:tcW w:w="1900" w:type="dxa"/>
            <w:noWrap/>
            <w:hideMark/>
          </w:tcPr>
          <w:p w14:paraId="5ABA7C3B"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960" w:type="dxa"/>
            <w:noWrap/>
            <w:hideMark/>
          </w:tcPr>
          <w:p w14:paraId="3F3CD2ED"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120" w:type="dxa"/>
            <w:noWrap/>
            <w:hideMark/>
          </w:tcPr>
          <w:p w14:paraId="1B74B2BB"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181</w:t>
            </w:r>
          </w:p>
        </w:tc>
        <w:tc>
          <w:tcPr>
            <w:tcW w:w="1900" w:type="dxa"/>
            <w:noWrap/>
            <w:hideMark/>
          </w:tcPr>
          <w:p w14:paraId="66F9613C"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1820" w:type="dxa"/>
            <w:noWrap/>
            <w:hideMark/>
          </w:tcPr>
          <w:p w14:paraId="08142892"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0</w:t>
            </w:r>
          </w:p>
        </w:tc>
        <w:tc>
          <w:tcPr>
            <w:tcW w:w="2820" w:type="dxa"/>
            <w:noWrap/>
            <w:hideMark/>
          </w:tcPr>
          <w:p w14:paraId="0865207D" w14:textId="77777777" w:rsidR="00007A36" w:rsidRPr="00007A36" w:rsidRDefault="00007A36" w:rsidP="00007A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07A36">
              <w:rPr>
                <w:rFonts w:eastAsia="Times New Roman"/>
                <w:color w:val="000000"/>
              </w:rPr>
              <w:t>3</w:t>
            </w:r>
          </w:p>
        </w:tc>
      </w:tr>
    </w:tbl>
    <w:p w14:paraId="01B25F25" w14:textId="635CE33E" w:rsidR="00007A36" w:rsidRDefault="00007A36" w:rsidP="00352F9E">
      <w:pPr>
        <w:pStyle w:val="BodyText"/>
        <w:rPr>
          <w:b/>
          <w:bCs/>
          <w:i/>
          <w:iCs/>
        </w:rPr>
      </w:pPr>
    </w:p>
    <w:p w14:paraId="7D86B50F" w14:textId="77777777" w:rsidR="00007A36" w:rsidRPr="009C25A7" w:rsidRDefault="00007A36" w:rsidP="00352F9E">
      <w:pPr>
        <w:pStyle w:val="BodyText"/>
        <w:rPr>
          <w:b/>
          <w:bCs/>
          <w:i/>
          <w:iCs/>
        </w:rPr>
      </w:pPr>
    </w:p>
    <w:p w14:paraId="09D2734B" w14:textId="63753C3B" w:rsidR="006A147A" w:rsidRDefault="006A147A">
      <w:pPr>
        <w:rPr>
          <w:b/>
          <w:bCs/>
          <w:i/>
          <w:iCs/>
          <w:sz w:val="24"/>
          <w:szCs w:val="24"/>
          <w:highlight w:val="cyan"/>
        </w:rPr>
      </w:pPr>
    </w:p>
    <w:p w14:paraId="458C2E41" w14:textId="77777777" w:rsidR="00352F9E" w:rsidRDefault="00352F9E">
      <w:pPr>
        <w:rPr>
          <w:b/>
          <w:bCs/>
          <w:i/>
          <w:iCs/>
          <w:sz w:val="24"/>
          <w:szCs w:val="24"/>
        </w:rPr>
      </w:pPr>
      <w:r>
        <w:rPr>
          <w:b/>
          <w:bCs/>
          <w:i/>
          <w:iCs/>
        </w:rPr>
        <w:br w:type="page"/>
      </w:r>
    </w:p>
    <w:p w14:paraId="63EB76E0" w14:textId="153C31B0" w:rsidR="006A147A" w:rsidRDefault="006A147A" w:rsidP="006A147A">
      <w:pPr>
        <w:pStyle w:val="BodyText"/>
        <w:jc w:val="center"/>
        <w:rPr>
          <w:b/>
          <w:bCs/>
          <w:i/>
          <w:iCs/>
        </w:rPr>
      </w:pPr>
      <w:r w:rsidRPr="00C23E05">
        <w:rPr>
          <w:b/>
          <w:bCs/>
          <w:i/>
          <w:iCs/>
        </w:rPr>
        <w:lastRenderedPageBreak/>
        <w:t xml:space="preserve">Appendix </w:t>
      </w:r>
      <w:r w:rsidR="009D6168">
        <w:rPr>
          <w:b/>
          <w:bCs/>
          <w:i/>
          <w:iCs/>
        </w:rPr>
        <w:t>C</w:t>
      </w:r>
      <w:r w:rsidRPr="00C23E05">
        <w:rPr>
          <w:b/>
          <w:bCs/>
          <w:i/>
          <w:iCs/>
        </w:rPr>
        <w:t xml:space="preserve"> – </w:t>
      </w:r>
      <w:r w:rsidR="00824ADC">
        <w:rPr>
          <w:b/>
          <w:bCs/>
          <w:i/>
          <w:iCs/>
        </w:rPr>
        <w:t>AMG Priority Recommendations for Improved Collaboration</w:t>
      </w:r>
    </w:p>
    <w:p w14:paraId="5B593215" w14:textId="77777777" w:rsidR="00824ADC" w:rsidRPr="00824ADC" w:rsidRDefault="00824ADC" w:rsidP="00824ADC">
      <w:pPr>
        <w:widowControl/>
        <w:autoSpaceDE/>
        <w:autoSpaceDN/>
        <w:contextualSpacing/>
        <w:rPr>
          <w:color w:val="000000" w:themeColor="text1"/>
          <w:highlight w:val="yellow"/>
        </w:rPr>
      </w:pPr>
      <w:r w:rsidRPr="00824ADC">
        <w:rPr>
          <w:color w:val="000000" w:themeColor="text1"/>
          <w:highlight w:val="yellow"/>
        </w:rPr>
        <w:t>At the AMG meeting in October 2022, we facilitated a discussion on recommendations to improve the collaborative process. We highlighted the many steps that had already been taken or were being considered to improve the process, and we assessed which, if any, additional recommendations from the collaborative adaptive management process evaluation should be prioritized in the short-term. Suggestions for improvement included:</w:t>
      </w:r>
    </w:p>
    <w:p w14:paraId="07E3287F" w14:textId="77777777" w:rsidR="00824ADC" w:rsidRDefault="00824ADC" w:rsidP="00824ADC">
      <w:pPr>
        <w:pStyle w:val="ListParagraph"/>
        <w:widowControl/>
        <w:numPr>
          <w:ilvl w:val="0"/>
          <w:numId w:val="9"/>
        </w:numPr>
        <w:autoSpaceDE/>
        <w:autoSpaceDN/>
        <w:contextualSpacing/>
        <w:rPr>
          <w:color w:val="000000" w:themeColor="text1"/>
          <w:highlight w:val="yellow"/>
        </w:rPr>
      </w:pPr>
      <w:r w:rsidRPr="0698C5D7">
        <w:rPr>
          <w:color w:val="000000" w:themeColor="text1"/>
          <w:highlight w:val="yellow"/>
        </w:rPr>
        <w:t xml:space="preserve">Increase communication and outreach to groups and develop methods to track communication channels. In this vein, developing a list of definitions and acronyms may support external </w:t>
      </w:r>
      <w:proofErr w:type="gramStart"/>
      <w:r w:rsidRPr="0698C5D7">
        <w:rPr>
          <w:color w:val="000000" w:themeColor="text1"/>
          <w:highlight w:val="yellow"/>
        </w:rPr>
        <w:t>communication;</w:t>
      </w:r>
      <w:proofErr w:type="gramEnd"/>
    </w:p>
    <w:p w14:paraId="309553F3" w14:textId="77777777" w:rsidR="00824ADC" w:rsidRDefault="00824ADC" w:rsidP="00824ADC">
      <w:pPr>
        <w:pStyle w:val="ListParagraph"/>
        <w:widowControl/>
        <w:numPr>
          <w:ilvl w:val="0"/>
          <w:numId w:val="9"/>
        </w:numPr>
        <w:autoSpaceDE/>
        <w:autoSpaceDN/>
        <w:spacing w:after="160" w:line="259" w:lineRule="auto"/>
        <w:contextualSpacing/>
        <w:rPr>
          <w:color w:val="000000" w:themeColor="text1"/>
          <w:highlight w:val="yellow"/>
        </w:rPr>
      </w:pPr>
      <w:r w:rsidRPr="0698C5D7">
        <w:rPr>
          <w:color w:val="000000" w:themeColor="text1"/>
          <w:highlight w:val="yellow"/>
        </w:rPr>
        <w:t xml:space="preserve">Increase the number and type of designated seats to increase opportunities for collaboration, including but not limited to recreation interests, and community wildfire mitigation collaboratives, for </w:t>
      </w:r>
      <w:proofErr w:type="gramStart"/>
      <w:r w:rsidRPr="0698C5D7">
        <w:rPr>
          <w:color w:val="000000" w:themeColor="text1"/>
          <w:highlight w:val="yellow"/>
        </w:rPr>
        <w:t>example;</w:t>
      </w:r>
      <w:proofErr w:type="gramEnd"/>
    </w:p>
    <w:p w14:paraId="6BC25383" w14:textId="77777777" w:rsidR="00824ADC" w:rsidRDefault="00824ADC" w:rsidP="00824ADC">
      <w:pPr>
        <w:pStyle w:val="ListParagraph"/>
        <w:widowControl/>
        <w:numPr>
          <w:ilvl w:val="0"/>
          <w:numId w:val="9"/>
        </w:numPr>
        <w:autoSpaceDE/>
        <w:autoSpaceDN/>
        <w:spacing w:after="160" w:line="259" w:lineRule="auto"/>
        <w:contextualSpacing/>
        <w:rPr>
          <w:color w:val="000000" w:themeColor="text1"/>
          <w:highlight w:val="yellow"/>
        </w:rPr>
      </w:pPr>
      <w:r w:rsidRPr="0698C5D7">
        <w:rPr>
          <w:color w:val="000000" w:themeColor="text1"/>
          <w:highlight w:val="yellow"/>
        </w:rPr>
        <w:t xml:space="preserve">Coordinate collaborative discussions and dialog on what is meant by resiliency in the context of SBEADMR and the </w:t>
      </w:r>
      <w:proofErr w:type="gramStart"/>
      <w:r w:rsidRPr="0698C5D7">
        <w:rPr>
          <w:color w:val="000000" w:themeColor="text1"/>
          <w:highlight w:val="yellow"/>
        </w:rPr>
        <w:t>GMUG;</w:t>
      </w:r>
      <w:proofErr w:type="gramEnd"/>
    </w:p>
    <w:p w14:paraId="190AB850" w14:textId="77777777" w:rsidR="00824ADC" w:rsidRDefault="00824ADC" w:rsidP="00824ADC">
      <w:pPr>
        <w:pStyle w:val="ListParagraph"/>
        <w:widowControl/>
        <w:numPr>
          <w:ilvl w:val="0"/>
          <w:numId w:val="9"/>
        </w:numPr>
        <w:autoSpaceDE/>
        <w:autoSpaceDN/>
        <w:spacing w:after="160" w:line="259" w:lineRule="auto"/>
        <w:contextualSpacing/>
        <w:rPr>
          <w:color w:val="000000" w:themeColor="text1"/>
          <w:highlight w:val="yellow"/>
        </w:rPr>
      </w:pPr>
      <w:r w:rsidRPr="0698C5D7">
        <w:rPr>
          <w:color w:val="000000" w:themeColor="text1"/>
          <w:highlight w:val="yellow"/>
        </w:rPr>
        <w:t xml:space="preserve">Increase transparency about how science informs lynx management and </w:t>
      </w:r>
      <w:proofErr w:type="gramStart"/>
      <w:r w:rsidRPr="0698C5D7">
        <w:rPr>
          <w:color w:val="000000" w:themeColor="text1"/>
          <w:highlight w:val="yellow"/>
        </w:rPr>
        <w:t>mitigation;</w:t>
      </w:r>
      <w:proofErr w:type="gramEnd"/>
    </w:p>
    <w:p w14:paraId="4B4D81F2" w14:textId="77777777" w:rsidR="00824ADC" w:rsidRDefault="00824ADC" w:rsidP="00824ADC">
      <w:pPr>
        <w:pStyle w:val="ListParagraph"/>
        <w:widowControl/>
        <w:numPr>
          <w:ilvl w:val="0"/>
          <w:numId w:val="9"/>
        </w:numPr>
        <w:autoSpaceDE/>
        <w:autoSpaceDN/>
        <w:spacing w:after="160" w:line="259" w:lineRule="auto"/>
        <w:contextualSpacing/>
        <w:rPr>
          <w:color w:val="000000" w:themeColor="text1"/>
          <w:highlight w:val="yellow"/>
        </w:rPr>
      </w:pPr>
      <w:r w:rsidRPr="0698C5D7">
        <w:rPr>
          <w:color w:val="000000" w:themeColor="text1"/>
          <w:highlight w:val="yellow"/>
        </w:rPr>
        <w:t xml:space="preserve">Allow AMG to attend annual FLT meeting </w:t>
      </w:r>
      <w:r>
        <w:rPr>
          <w:color w:val="000000" w:themeColor="text1"/>
          <w:highlight w:val="yellow"/>
        </w:rPr>
        <w:t xml:space="preserve">where </w:t>
      </w:r>
      <w:r w:rsidRPr="0698C5D7">
        <w:rPr>
          <w:color w:val="000000" w:themeColor="text1"/>
          <w:highlight w:val="yellow"/>
        </w:rPr>
        <w:t>AMG recommendations for adaptation are considered; and</w:t>
      </w:r>
    </w:p>
    <w:p w14:paraId="777EF32F" w14:textId="77777777" w:rsidR="00824ADC" w:rsidRDefault="00824ADC" w:rsidP="00824ADC">
      <w:pPr>
        <w:pStyle w:val="ListParagraph"/>
        <w:widowControl/>
        <w:numPr>
          <w:ilvl w:val="0"/>
          <w:numId w:val="9"/>
        </w:numPr>
        <w:autoSpaceDE/>
        <w:autoSpaceDN/>
        <w:spacing w:after="160" w:line="259" w:lineRule="auto"/>
        <w:contextualSpacing/>
        <w:rPr>
          <w:color w:val="000000" w:themeColor="text1"/>
          <w:highlight w:val="yellow"/>
        </w:rPr>
      </w:pPr>
      <w:r w:rsidRPr="0698C5D7">
        <w:rPr>
          <w:color w:val="000000" w:themeColor="text1"/>
          <w:highlight w:val="yellow"/>
        </w:rPr>
        <w:t>Create an inventory of community wildfire collaboratives and forest health initiatives in the GMUG.</w:t>
      </w:r>
    </w:p>
    <w:p w14:paraId="022FBB7A" w14:textId="77777777" w:rsidR="0059480E" w:rsidRPr="0059480E" w:rsidRDefault="0059480E" w:rsidP="00824ADC">
      <w:pPr>
        <w:pStyle w:val="TableParagraph"/>
        <w:rPr>
          <w:b/>
          <w:bCs/>
          <w:i/>
          <w:iCs/>
        </w:rPr>
      </w:pPr>
    </w:p>
    <w:sectPr w:rsidR="0059480E" w:rsidRPr="0059480E" w:rsidSect="00CF5B56">
      <w:headerReference w:type="even" r:id="rId15"/>
      <w:headerReference w:type="default" r:id="rId16"/>
      <w:footerReference w:type="default" r:id="rId17"/>
      <w:headerReference w:type="first" r:id="rId18"/>
      <w:pgSz w:w="20160" w:h="12240" w:orient="landscape" w:code="5"/>
      <w:pgMar w:top="720" w:right="640" w:bottom="1120" w:left="600" w:header="0" w:footer="9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A3CF" w14:textId="77777777" w:rsidR="00666121" w:rsidRDefault="00666121">
      <w:r>
        <w:separator/>
      </w:r>
    </w:p>
  </w:endnote>
  <w:endnote w:type="continuationSeparator" w:id="0">
    <w:p w14:paraId="7F146822" w14:textId="77777777" w:rsidR="00666121" w:rsidRDefault="0066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41C6" w14:textId="77777777" w:rsidR="00844530" w:rsidRDefault="00844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121686"/>
      <w:docPartObj>
        <w:docPartGallery w:val="Page Numbers (Bottom of Page)"/>
        <w:docPartUnique/>
      </w:docPartObj>
    </w:sdtPr>
    <w:sdtEndPr>
      <w:rPr>
        <w:noProof/>
      </w:rPr>
    </w:sdtEndPr>
    <w:sdtContent>
      <w:p w14:paraId="13FF57A4" w14:textId="1FDA04C3" w:rsidR="0062080F" w:rsidRDefault="0062080F">
        <w:pPr>
          <w:pStyle w:val="Footer"/>
        </w:pPr>
        <w:r>
          <w:fldChar w:fldCharType="begin"/>
        </w:r>
        <w:r>
          <w:instrText xml:space="preserve"> PAGE   \* MERGEFORMAT </w:instrText>
        </w:r>
        <w:r>
          <w:fldChar w:fldCharType="separate"/>
        </w:r>
        <w:r>
          <w:rPr>
            <w:noProof/>
          </w:rPr>
          <w:t>2</w:t>
        </w:r>
        <w:r>
          <w:rPr>
            <w:noProof/>
          </w:rPr>
          <w:fldChar w:fldCharType="end"/>
        </w:r>
      </w:p>
    </w:sdtContent>
  </w:sdt>
  <w:p w14:paraId="180EA481" w14:textId="4230CDAA" w:rsidR="004F556E" w:rsidRDefault="004F556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122F" w14:textId="77777777" w:rsidR="00844530" w:rsidRDefault="008445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924160"/>
      <w:docPartObj>
        <w:docPartGallery w:val="Page Numbers (Bottom of Page)"/>
        <w:docPartUnique/>
      </w:docPartObj>
    </w:sdtPr>
    <w:sdtEndPr>
      <w:rPr>
        <w:noProof/>
      </w:rPr>
    </w:sdtEndPr>
    <w:sdtContent>
      <w:p w14:paraId="35D83628" w14:textId="6C2E3CFE" w:rsidR="0062080F" w:rsidRDefault="0062080F">
        <w:pPr>
          <w:pStyle w:val="Footer"/>
        </w:pPr>
        <w:r>
          <w:fldChar w:fldCharType="begin"/>
        </w:r>
        <w:r>
          <w:instrText xml:space="preserve"> PAGE   \* MERGEFORMAT </w:instrText>
        </w:r>
        <w:r>
          <w:fldChar w:fldCharType="separate"/>
        </w:r>
        <w:r>
          <w:rPr>
            <w:noProof/>
          </w:rPr>
          <w:t>2</w:t>
        </w:r>
        <w:r>
          <w:rPr>
            <w:noProof/>
          </w:rPr>
          <w:fldChar w:fldCharType="end"/>
        </w:r>
      </w:p>
    </w:sdtContent>
  </w:sdt>
  <w:p w14:paraId="486805C8" w14:textId="654ECD58" w:rsidR="004F556E" w:rsidRDefault="004F556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F5F6" w14:textId="77777777" w:rsidR="00666121" w:rsidRDefault="00666121">
      <w:r>
        <w:separator/>
      </w:r>
    </w:p>
  </w:footnote>
  <w:footnote w:type="continuationSeparator" w:id="0">
    <w:p w14:paraId="249AB8E1" w14:textId="77777777" w:rsidR="00666121" w:rsidRDefault="00666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6FF" w14:textId="34DA5885" w:rsidR="00844530" w:rsidRDefault="00844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C733" w14:textId="3782ACAD" w:rsidR="00844530" w:rsidRDefault="008445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D997" w14:textId="780D64A0" w:rsidR="00844530" w:rsidRDefault="008445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F096" w14:textId="19AF68B6" w:rsidR="00844530" w:rsidRDefault="008445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7F79" w14:textId="7950C7A9" w:rsidR="00844530" w:rsidRDefault="008445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0EB5" w14:textId="2B2731D4" w:rsidR="00844530" w:rsidRDefault="00844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4B35"/>
    <w:multiLevelType w:val="hybridMultilevel"/>
    <w:tmpl w:val="803CE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6F5162"/>
    <w:multiLevelType w:val="hybridMultilevel"/>
    <w:tmpl w:val="C12A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C163C"/>
    <w:multiLevelType w:val="hybridMultilevel"/>
    <w:tmpl w:val="08B4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973A3"/>
    <w:multiLevelType w:val="hybridMultilevel"/>
    <w:tmpl w:val="18A2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B6500"/>
    <w:multiLevelType w:val="hybridMultilevel"/>
    <w:tmpl w:val="E1786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D03D34"/>
    <w:multiLevelType w:val="hybridMultilevel"/>
    <w:tmpl w:val="3A7E6C9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48773A79"/>
    <w:multiLevelType w:val="hybridMultilevel"/>
    <w:tmpl w:val="E0A49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2F3B47"/>
    <w:multiLevelType w:val="hybridMultilevel"/>
    <w:tmpl w:val="C340F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541232"/>
    <w:multiLevelType w:val="hybridMultilevel"/>
    <w:tmpl w:val="19AC3A42"/>
    <w:lvl w:ilvl="0" w:tplc="F5A8DABC">
      <w:start w:val="2017"/>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490404">
    <w:abstractNumId w:val="0"/>
  </w:num>
  <w:num w:numId="2" w16cid:durableId="1838767434">
    <w:abstractNumId w:val="5"/>
  </w:num>
  <w:num w:numId="3" w16cid:durableId="1109011876">
    <w:abstractNumId w:val="3"/>
  </w:num>
  <w:num w:numId="4" w16cid:durableId="763653499">
    <w:abstractNumId w:val="6"/>
  </w:num>
  <w:num w:numId="5" w16cid:durableId="1648851863">
    <w:abstractNumId w:val="4"/>
  </w:num>
  <w:num w:numId="6" w16cid:durableId="2048799791">
    <w:abstractNumId w:val="7"/>
  </w:num>
  <w:num w:numId="7" w16cid:durableId="74790791">
    <w:abstractNumId w:val="1"/>
  </w:num>
  <w:num w:numId="8" w16cid:durableId="2020572881">
    <w:abstractNumId w:val="8"/>
  </w:num>
  <w:num w:numId="9" w16cid:durableId="1212882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6E"/>
    <w:rsid w:val="00000C75"/>
    <w:rsid w:val="00003AF4"/>
    <w:rsid w:val="000040BA"/>
    <w:rsid w:val="00007A36"/>
    <w:rsid w:val="000145A5"/>
    <w:rsid w:val="000154BF"/>
    <w:rsid w:val="000166C4"/>
    <w:rsid w:val="00021661"/>
    <w:rsid w:val="00024CAE"/>
    <w:rsid w:val="00027E0B"/>
    <w:rsid w:val="00030486"/>
    <w:rsid w:val="0003309A"/>
    <w:rsid w:val="00033338"/>
    <w:rsid w:val="00036884"/>
    <w:rsid w:val="00040FCB"/>
    <w:rsid w:val="0004260F"/>
    <w:rsid w:val="0004431E"/>
    <w:rsid w:val="000462A0"/>
    <w:rsid w:val="00052A99"/>
    <w:rsid w:val="00054738"/>
    <w:rsid w:val="00054A77"/>
    <w:rsid w:val="00060533"/>
    <w:rsid w:val="00065FA6"/>
    <w:rsid w:val="000818D3"/>
    <w:rsid w:val="00084886"/>
    <w:rsid w:val="00085409"/>
    <w:rsid w:val="00087AB0"/>
    <w:rsid w:val="000956E9"/>
    <w:rsid w:val="000B2036"/>
    <w:rsid w:val="000C3761"/>
    <w:rsid w:val="000C5AD4"/>
    <w:rsid w:val="000C7A43"/>
    <w:rsid w:val="000E4980"/>
    <w:rsid w:val="000E56F0"/>
    <w:rsid w:val="000F421A"/>
    <w:rsid w:val="000F5714"/>
    <w:rsid w:val="001018CB"/>
    <w:rsid w:val="00104C6E"/>
    <w:rsid w:val="00105060"/>
    <w:rsid w:val="0010741F"/>
    <w:rsid w:val="0011385B"/>
    <w:rsid w:val="00122B7E"/>
    <w:rsid w:val="00123966"/>
    <w:rsid w:val="001373E4"/>
    <w:rsid w:val="00141550"/>
    <w:rsid w:val="00147916"/>
    <w:rsid w:val="001523C8"/>
    <w:rsid w:val="00152525"/>
    <w:rsid w:val="001534B8"/>
    <w:rsid w:val="001569C5"/>
    <w:rsid w:val="00170BA8"/>
    <w:rsid w:val="00176EC4"/>
    <w:rsid w:val="001814E7"/>
    <w:rsid w:val="00192378"/>
    <w:rsid w:val="001A66BB"/>
    <w:rsid w:val="001A69A6"/>
    <w:rsid w:val="001B0010"/>
    <w:rsid w:val="001B160C"/>
    <w:rsid w:val="001B4776"/>
    <w:rsid w:val="001C483D"/>
    <w:rsid w:val="001C5F2F"/>
    <w:rsid w:val="001D1DAA"/>
    <w:rsid w:val="001D6A25"/>
    <w:rsid w:val="001E08A8"/>
    <w:rsid w:val="001E3C4E"/>
    <w:rsid w:val="001E4882"/>
    <w:rsid w:val="001E5517"/>
    <w:rsid w:val="001F09C6"/>
    <w:rsid w:val="0020156F"/>
    <w:rsid w:val="002028A3"/>
    <w:rsid w:val="00206AC0"/>
    <w:rsid w:val="002121C5"/>
    <w:rsid w:val="00216E4E"/>
    <w:rsid w:val="00222F68"/>
    <w:rsid w:val="0022416D"/>
    <w:rsid w:val="00233468"/>
    <w:rsid w:val="00235E45"/>
    <w:rsid w:val="002400FA"/>
    <w:rsid w:val="00241BC8"/>
    <w:rsid w:val="0025347F"/>
    <w:rsid w:val="0025396C"/>
    <w:rsid w:val="00256B00"/>
    <w:rsid w:val="00262315"/>
    <w:rsid w:val="00264E44"/>
    <w:rsid w:val="002678E0"/>
    <w:rsid w:val="00275084"/>
    <w:rsid w:val="00283B89"/>
    <w:rsid w:val="00284347"/>
    <w:rsid w:val="002866B1"/>
    <w:rsid w:val="00292A89"/>
    <w:rsid w:val="00293317"/>
    <w:rsid w:val="00297AB4"/>
    <w:rsid w:val="002A321D"/>
    <w:rsid w:val="002A4E0C"/>
    <w:rsid w:val="002A6DCB"/>
    <w:rsid w:val="002B2030"/>
    <w:rsid w:val="002B3436"/>
    <w:rsid w:val="002B76BE"/>
    <w:rsid w:val="002B7936"/>
    <w:rsid w:val="002C33A4"/>
    <w:rsid w:val="002C7D97"/>
    <w:rsid w:val="002D14D1"/>
    <w:rsid w:val="002D1B1B"/>
    <w:rsid w:val="002D507A"/>
    <w:rsid w:val="002D694B"/>
    <w:rsid w:val="002E1211"/>
    <w:rsid w:val="002E592F"/>
    <w:rsid w:val="002F0451"/>
    <w:rsid w:val="002F07AE"/>
    <w:rsid w:val="002F412D"/>
    <w:rsid w:val="002F686D"/>
    <w:rsid w:val="002F7316"/>
    <w:rsid w:val="00300CBC"/>
    <w:rsid w:val="00316841"/>
    <w:rsid w:val="003238ED"/>
    <w:rsid w:val="003243F2"/>
    <w:rsid w:val="00332C40"/>
    <w:rsid w:val="003361DA"/>
    <w:rsid w:val="003409A0"/>
    <w:rsid w:val="00352F9E"/>
    <w:rsid w:val="00356BEF"/>
    <w:rsid w:val="00362107"/>
    <w:rsid w:val="00364C2A"/>
    <w:rsid w:val="00373911"/>
    <w:rsid w:val="00374290"/>
    <w:rsid w:val="00376D64"/>
    <w:rsid w:val="0038077C"/>
    <w:rsid w:val="00381421"/>
    <w:rsid w:val="00384A36"/>
    <w:rsid w:val="00385275"/>
    <w:rsid w:val="00394C06"/>
    <w:rsid w:val="00395896"/>
    <w:rsid w:val="003A13C1"/>
    <w:rsid w:val="003B50C0"/>
    <w:rsid w:val="003B6C9A"/>
    <w:rsid w:val="003C449E"/>
    <w:rsid w:val="003E75DE"/>
    <w:rsid w:val="00402DB5"/>
    <w:rsid w:val="004046AD"/>
    <w:rsid w:val="00407627"/>
    <w:rsid w:val="00412109"/>
    <w:rsid w:val="004226DB"/>
    <w:rsid w:val="0042519C"/>
    <w:rsid w:val="00425BBE"/>
    <w:rsid w:val="00427215"/>
    <w:rsid w:val="00433B9B"/>
    <w:rsid w:val="00440AD1"/>
    <w:rsid w:val="00445B50"/>
    <w:rsid w:val="00450F67"/>
    <w:rsid w:val="004617B7"/>
    <w:rsid w:val="00461820"/>
    <w:rsid w:val="00475F13"/>
    <w:rsid w:val="00476E54"/>
    <w:rsid w:val="00485210"/>
    <w:rsid w:val="0048612A"/>
    <w:rsid w:val="00486906"/>
    <w:rsid w:val="00487409"/>
    <w:rsid w:val="00493045"/>
    <w:rsid w:val="00495495"/>
    <w:rsid w:val="0049559B"/>
    <w:rsid w:val="004A2586"/>
    <w:rsid w:val="004C1EBF"/>
    <w:rsid w:val="004D020A"/>
    <w:rsid w:val="004D24A4"/>
    <w:rsid w:val="004E0B87"/>
    <w:rsid w:val="004E2809"/>
    <w:rsid w:val="004E2F08"/>
    <w:rsid w:val="004E5B41"/>
    <w:rsid w:val="004F1925"/>
    <w:rsid w:val="004F47AC"/>
    <w:rsid w:val="004F556E"/>
    <w:rsid w:val="004F5DF7"/>
    <w:rsid w:val="00501931"/>
    <w:rsid w:val="005027C1"/>
    <w:rsid w:val="00507F2E"/>
    <w:rsid w:val="00513381"/>
    <w:rsid w:val="00514BD0"/>
    <w:rsid w:val="00514ED8"/>
    <w:rsid w:val="00514EF7"/>
    <w:rsid w:val="005308A1"/>
    <w:rsid w:val="0053553D"/>
    <w:rsid w:val="00540B59"/>
    <w:rsid w:val="00545127"/>
    <w:rsid w:val="005464FF"/>
    <w:rsid w:val="00547837"/>
    <w:rsid w:val="00564658"/>
    <w:rsid w:val="005650D6"/>
    <w:rsid w:val="005655C0"/>
    <w:rsid w:val="00566D46"/>
    <w:rsid w:val="005700DC"/>
    <w:rsid w:val="005720D5"/>
    <w:rsid w:val="0057380E"/>
    <w:rsid w:val="00574613"/>
    <w:rsid w:val="005805A3"/>
    <w:rsid w:val="00580AE0"/>
    <w:rsid w:val="00581F91"/>
    <w:rsid w:val="00585708"/>
    <w:rsid w:val="00586908"/>
    <w:rsid w:val="005915DA"/>
    <w:rsid w:val="0059480E"/>
    <w:rsid w:val="00597C5E"/>
    <w:rsid w:val="005A2C8A"/>
    <w:rsid w:val="005B4C41"/>
    <w:rsid w:val="005B4E53"/>
    <w:rsid w:val="005B6068"/>
    <w:rsid w:val="005C7A85"/>
    <w:rsid w:val="005D0DDE"/>
    <w:rsid w:val="005D6948"/>
    <w:rsid w:val="005D70F7"/>
    <w:rsid w:val="005E3F9D"/>
    <w:rsid w:val="005E6098"/>
    <w:rsid w:val="005F09AC"/>
    <w:rsid w:val="005F380B"/>
    <w:rsid w:val="006017C8"/>
    <w:rsid w:val="00603847"/>
    <w:rsid w:val="0061536C"/>
    <w:rsid w:val="0062080F"/>
    <w:rsid w:val="00626F4D"/>
    <w:rsid w:val="00627A61"/>
    <w:rsid w:val="00632225"/>
    <w:rsid w:val="006339B5"/>
    <w:rsid w:val="00637B47"/>
    <w:rsid w:val="006434DB"/>
    <w:rsid w:val="00646437"/>
    <w:rsid w:val="0064765A"/>
    <w:rsid w:val="006476DC"/>
    <w:rsid w:val="00652083"/>
    <w:rsid w:val="00656317"/>
    <w:rsid w:val="00660800"/>
    <w:rsid w:val="00665A70"/>
    <w:rsid w:val="00666121"/>
    <w:rsid w:val="0067329A"/>
    <w:rsid w:val="006737DA"/>
    <w:rsid w:val="006740A5"/>
    <w:rsid w:val="00684C73"/>
    <w:rsid w:val="00685F87"/>
    <w:rsid w:val="00696ED7"/>
    <w:rsid w:val="006A019C"/>
    <w:rsid w:val="006A147A"/>
    <w:rsid w:val="006B50FB"/>
    <w:rsid w:val="006D6239"/>
    <w:rsid w:val="006E4A2F"/>
    <w:rsid w:val="006F6B24"/>
    <w:rsid w:val="007070B4"/>
    <w:rsid w:val="007113E1"/>
    <w:rsid w:val="007117BF"/>
    <w:rsid w:val="007120CE"/>
    <w:rsid w:val="007123FB"/>
    <w:rsid w:val="00714058"/>
    <w:rsid w:val="0072426D"/>
    <w:rsid w:val="0073536E"/>
    <w:rsid w:val="00735FB0"/>
    <w:rsid w:val="007416F6"/>
    <w:rsid w:val="00752C51"/>
    <w:rsid w:val="00752DF0"/>
    <w:rsid w:val="0076315C"/>
    <w:rsid w:val="00780779"/>
    <w:rsid w:val="007816E7"/>
    <w:rsid w:val="007835AA"/>
    <w:rsid w:val="0079238E"/>
    <w:rsid w:val="00792D4B"/>
    <w:rsid w:val="00793E71"/>
    <w:rsid w:val="00794B2E"/>
    <w:rsid w:val="007A2F3E"/>
    <w:rsid w:val="007A735C"/>
    <w:rsid w:val="007A78B0"/>
    <w:rsid w:val="007C0BA2"/>
    <w:rsid w:val="007C0C03"/>
    <w:rsid w:val="007C52CB"/>
    <w:rsid w:val="007D2E6F"/>
    <w:rsid w:val="007E057F"/>
    <w:rsid w:val="007E3A53"/>
    <w:rsid w:val="007E4221"/>
    <w:rsid w:val="007E7766"/>
    <w:rsid w:val="007F16B1"/>
    <w:rsid w:val="007F366B"/>
    <w:rsid w:val="007F7117"/>
    <w:rsid w:val="00804374"/>
    <w:rsid w:val="00804D60"/>
    <w:rsid w:val="00814D72"/>
    <w:rsid w:val="0081638A"/>
    <w:rsid w:val="00824ADC"/>
    <w:rsid w:val="00831066"/>
    <w:rsid w:val="0083162B"/>
    <w:rsid w:val="008344A4"/>
    <w:rsid w:val="00835E95"/>
    <w:rsid w:val="00837ACF"/>
    <w:rsid w:val="008427A1"/>
    <w:rsid w:val="00844530"/>
    <w:rsid w:val="008563DD"/>
    <w:rsid w:val="00857CCC"/>
    <w:rsid w:val="00861CB2"/>
    <w:rsid w:val="0086275F"/>
    <w:rsid w:val="00871D94"/>
    <w:rsid w:val="00881CB1"/>
    <w:rsid w:val="00893732"/>
    <w:rsid w:val="00893B50"/>
    <w:rsid w:val="008A1708"/>
    <w:rsid w:val="008A2B43"/>
    <w:rsid w:val="008A3A78"/>
    <w:rsid w:val="008A471E"/>
    <w:rsid w:val="008C6CE8"/>
    <w:rsid w:val="008D2989"/>
    <w:rsid w:val="008E0433"/>
    <w:rsid w:val="008E504A"/>
    <w:rsid w:val="008E557E"/>
    <w:rsid w:val="008E7CFD"/>
    <w:rsid w:val="008F1602"/>
    <w:rsid w:val="008F3637"/>
    <w:rsid w:val="008F3F84"/>
    <w:rsid w:val="00901624"/>
    <w:rsid w:val="009025F4"/>
    <w:rsid w:val="009103BF"/>
    <w:rsid w:val="00910AF6"/>
    <w:rsid w:val="00917789"/>
    <w:rsid w:val="00927EB0"/>
    <w:rsid w:val="0093034A"/>
    <w:rsid w:val="00931138"/>
    <w:rsid w:val="009311BF"/>
    <w:rsid w:val="009360BA"/>
    <w:rsid w:val="00952255"/>
    <w:rsid w:val="0096564E"/>
    <w:rsid w:val="00966FD7"/>
    <w:rsid w:val="00975E68"/>
    <w:rsid w:val="00985115"/>
    <w:rsid w:val="009A27AA"/>
    <w:rsid w:val="009A3BBB"/>
    <w:rsid w:val="009A6363"/>
    <w:rsid w:val="009B538B"/>
    <w:rsid w:val="009C1F77"/>
    <w:rsid w:val="009C25A7"/>
    <w:rsid w:val="009C687F"/>
    <w:rsid w:val="009D2AB9"/>
    <w:rsid w:val="009D5844"/>
    <w:rsid w:val="009D6168"/>
    <w:rsid w:val="009D764F"/>
    <w:rsid w:val="009E0DC5"/>
    <w:rsid w:val="009E593A"/>
    <w:rsid w:val="009F647B"/>
    <w:rsid w:val="00A01B2F"/>
    <w:rsid w:val="00A03FCF"/>
    <w:rsid w:val="00A04098"/>
    <w:rsid w:val="00A07A8F"/>
    <w:rsid w:val="00A13988"/>
    <w:rsid w:val="00A14EB5"/>
    <w:rsid w:val="00A15138"/>
    <w:rsid w:val="00A15F7A"/>
    <w:rsid w:val="00A16E8E"/>
    <w:rsid w:val="00A20FE2"/>
    <w:rsid w:val="00A22995"/>
    <w:rsid w:val="00A33D52"/>
    <w:rsid w:val="00A357CE"/>
    <w:rsid w:val="00A42ACA"/>
    <w:rsid w:val="00A4662E"/>
    <w:rsid w:val="00A467E0"/>
    <w:rsid w:val="00A56F29"/>
    <w:rsid w:val="00A60A38"/>
    <w:rsid w:val="00A60BA6"/>
    <w:rsid w:val="00A80398"/>
    <w:rsid w:val="00A810C2"/>
    <w:rsid w:val="00A817A2"/>
    <w:rsid w:val="00A83106"/>
    <w:rsid w:val="00A8552B"/>
    <w:rsid w:val="00A85B27"/>
    <w:rsid w:val="00A9037C"/>
    <w:rsid w:val="00A93885"/>
    <w:rsid w:val="00A93C52"/>
    <w:rsid w:val="00A95819"/>
    <w:rsid w:val="00AA0942"/>
    <w:rsid w:val="00AA17A4"/>
    <w:rsid w:val="00AA7A07"/>
    <w:rsid w:val="00AB7310"/>
    <w:rsid w:val="00AC11F1"/>
    <w:rsid w:val="00AC1BCC"/>
    <w:rsid w:val="00AD6FAA"/>
    <w:rsid w:val="00AE0DCD"/>
    <w:rsid w:val="00AE3D51"/>
    <w:rsid w:val="00AE5322"/>
    <w:rsid w:val="00B04B11"/>
    <w:rsid w:val="00B11213"/>
    <w:rsid w:val="00B15CD2"/>
    <w:rsid w:val="00B17172"/>
    <w:rsid w:val="00B179DA"/>
    <w:rsid w:val="00B2143F"/>
    <w:rsid w:val="00B25E3E"/>
    <w:rsid w:val="00B265CC"/>
    <w:rsid w:val="00B26C08"/>
    <w:rsid w:val="00B27910"/>
    <w:rsid w:val="00B30775"/>
    <w:rsid w:val="00B32E84"/>
    <w:rsid w:val="00B33C73"/>
    <w:rsid w:val="00B36FB0"/>
    <w:rsid w:val="00B466D9"/>
    <w:rsid w:val="00B468F0"/>
    <w:rsid w:val="00B56B6D"/>
    <w:rsid w:val="00B60AA8"/>
    <w:rsid w:val="00B63BD9"/>
    <w:rsid w:val="00B679BD"/>
    <w:rsid w:val="00B71901"/>
    <w:rsid w:val="00B7405D"/>
    <w:rsid w:val="00B756F9"/>
    <w:rsid w:val="00B82E82"/>
    <w:rsid w:val="00B86296"/>
    <w:rsid w:val="00B93962"/>
    <w:rsid w:val="00BA06F7"/>
    <w:rsid w:val="00BB2DFA"/>
    <w:rsid w:val="00BB4BF3"/>
    <w:rsid w:val="00BB6382"/>
    <w:rsid w:val="00BC006F"/>
    <w:rsid w:val="00BC41B5"/>
    <w:rsid w:val="00BC5033"/>
    <w:rsid w:val="00BC58DC"/>
    <w:rsid w:val="00BC730F"/>
    <w:rsid w:val="00BD0BDD"/>
    <w:rsid w:val="00BD29AD"/>
    <w:rsid w:val="00BE5BBA"/>
    <w:rsid w:val="00BF032C"/>
    <w:rsid w:val="00BF0A2F"/>
    <w:rsid w:val="00BF19E2"/>
    <w:rsid w:val="00C04857"/>
    <w:rsid w:val="00C11893"/>
    <w:rsid w:val="00C119C8"/>
    <w:rsid w:val="00C15811"/>
    <w:rsid w:val="00C160F2"/>
    <w:rsid w:val="00C17790"/>
    <w:rsid w:val="00C23E05"/>
    <w:rsid w:val="00C264D0"/>
    <w:rsid w:val="00C3049A"/>
    <w:rsid w:val="00C347E7"/>
    <w:rsid w:val="00C42160"/>
    <w:rsid w:val="00C54B16"/>
    <w:rsid w:val="00C56E98"/>
    <w:rsid w:val="00C62A7D"/>
    <w:rsid w:val="00C6743C"/>
    <w:rsid w:val="00C71C0E"/>
    <w:rsid w:val="00C80E0F"/>
    <w:rsid w:val="00C8479D"/>
    <w:rsid w:val="00CA0F34"/>
    <w:rsid w:val="00CA6738"/>
    <w:rsid w:val="00CA6C06"/>
    <w:rsid w:val="00CA76A3"/>
    <w:rsid w:val="00CC1F9E"/>
    <w:rsid w:val="00CC312F"/>
    <w:rsid w:val="00CC35F7"/>
    <w:rsid w:val="00CD0FEC"/>
    <w:rsid w:val="00CD4191"/>
    <w:rsid w:val="00CD4BA3"/>
    <w:rsid w:val="00CD501E"/>
    <w:rsid w:val="00CD5ABA"/>
    <w:rsid w:val="00CE2BB5"/>
    <w:rsid w:val="00CE5B90"/>
    <w:rsid w:val="00CE61A9"/>
    <w:rsid w:val="00CF0119"/>
    <w:rsid w:val="00CF5B56"/>
    <w:rsid w:val="00D012B0"/>
    <w:rsid w:val="00D0626B"/>
    <w:rsid w:val="00D11BEF"/>
    <w:rsid w:val="00D123EE"/>
    <w:rsid w:val="00D1325F"/>
    <w:rsid w:val="00D15766"/>
    <w:rsid w:val="00D179FC"/>
    <w:rsid w:val="00D20EE0"/>
    <w:rsid w:val="00D212F9"/>
    <w:rsid w:val="00D25744"/>
    <w:rsid w:val="00D30602"/>
    <w:rsid w:val="00D32801"/>
    <w:rsid w:val="00D33747"/>
    <w:rsid w:val="00D4389D"/>
    <w:rsid w:val="00D45DF4"/>
    <w:rsid w:val="00D55533"/>
    <w:rsid w:val="00D61705"/>
    <w:rsid w:val="00D62977"/>
    <w:rsid w:val="00D65FF0"/>
    <w:rsid w:val="00D70B8A"/>
    <w:rsid w:val="00D73C42"/>
    <w:rsid w:val="00D855FE"/>
    <w:rsid w:val="00D91194"/>
    <w:rsid w:val="00DB2028"/>
    <w:rsid w:val="00DC57CF"/>
    <w:rsid w:val="00DC5BA0"/>
    <w:rsid w:val="00DD3D3E"/>
    <w:rsid w:val="00DE7678"/>
    <w:rsid w:val="00DF1F80"/>
    <w:rsid w:val="00DF2BB7"/>
    <w:rsid w:val="00DF538D"/>
    <w:rsid w:val="00DF5EC9"/>
    <w:rsid w:val="00DF7929"/>
    <w:rsid w:val="00E106C1"/>
    <w:rsid w:val="00E12283"/>
    <w:rsid w:val="00E14EE5"/>
    <w:rsid w:val="00E2076D"/>
    <w:rsid w:val="00E24733"/>
    <w:rsid w:val="00E27F49"/>
    <w:rsid w:val="00E302F6"/>
    <w:rsid w:val="00E36DC1"/>
    <w:rsid w:val="00E3781D"/>
    <w:rsid w:val="00E416D3"/>
    <w:rsid w:val="00E47A8B"/>
    <w:rsid w:val="00E50283"/>
    <w:rsid w:val="00E5528C"/>
    <w:rsid w:val="00E609DB"/>
    <w:rsid w:val="00E62B0B"/>
    <w:rsid w:val="00E62EAA"/>
    <w:rsid w:val="00E66D19"/>
    <w:rsid w:val="00E71C2C"/>
    <w:rsid w:val="00E74223"/>
    <w:rsid w:val="00E75D47"/>
    <w:rsid w:val="00E84E72"/>
    <w:rsid w:val="00E874CB"/>
    <w:rsid w:val="00E91824"/>
    <w:rsid w:val="00E97D1D"/>
    <w:rsid w:val="00EA59B4"/>
    <w:rsid w:val="00EB5CEE"/>
    <w:rsid w:val="00EC6917"/>
    <w:rsid w:val="00EF154A"/>
    <w:rsid w:val="00EF2197"/>
    <w:rsid w:val="00F02D8A"/>
    <w:rsid w:val="00F05149"/>
    <w:rsid w:val="00F10861"/>
    <w:rsid w:val="00F13478"/>
    <w:rsid w:val="00F14241"/>
    <w:rsid w:val="00F14615"/>
    <w:rsid w:val="00F16B63"/>
    <w:rsid w:val="00F23330"/>
    <w:rsid w:val="00F41977"/>
    <w:rsid w:val="00F4548D"/>
    <w:rsid w:val="00F46E11"/>
    <w:rsid w:val="00F50A06"/>
    <w:rsid w:val="00F534E6"/>
    <w:rsid w:val="00F548EF"/>
    <w:rsid w:val="00F5617A"/>
    <w:rsid w:val="00F64F10"/>
    <w:rsid w:val="00F67423"/>
    <w:rsid w:val="00F93C66"/>
    <w:rsid w:val="00F9525F"/>
    <w:rsid w:val="00FA7835"/>
    <w:rsid w:val="00FB4A9D"/>
    <w:rsid w:val="00FB5D63"/>
    <w:rsid w:val="00FC0B78"/>
    <w:rsid w:val="00FC2755"/>
    <w:rsid w:val="00FC7970"/>
    <w:rsid w:val="00FD4E1D"/>
    <w:rsid w:val="00FE03A7"/>
    <w:rsid w:val="00FF0658"/>
    <w:rsid w:val="00FF213D"/>
    <w:rsid w:val="00FF3B30"/>
    <w:rsid w:val="00FF5360"/>
    <w:rsid w:val="505C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793B4"/>
  <w15:docId w15:val="{823AEA51-76D2-49DB-96E8-20CDBDC3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9"/>
      <w:ind w:left="120"/>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85F87"/>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FC2755"/>
    <w:pPr>
      <w:tabs>
        <w:tab w:val="center" w:pos="4680"/>
        <w:tab w:val="right" w:pos="9360"/>
      </w:tabs>
    </w:pPr>
  </w:style>
  <w:style w:type="character" w:customStyle="1" w:styleId="HeaderChar">
    <w:name w:val="Header Char"/>
    <w:basedOn w:val="DefaultParagraphFont"/>
    <w:link w:val="Header"/>
    <w:uiPriority w:val="99"/>
    <w:rsid w:val="00FC2755"/>
    <w:rPr>
      <w:rFonts w:ascii="Calibri" w:eastAsia="Calibri" w:hAnsi="Calibri" w:cs="Calibri"/>
    </w:rPr>
  </w:style>
  <w:style w:type="paragraph" w:styleId="Footer">
    <w:name w:val="footer"/>
    <w:basedOn w:val="Normal"/>
    <w:link w:val="FooterChar"/>
    <w:uiPriority w:val="99"/>
    <w:unhideWhenUsed/>
    <w:rsid w:val="00FC2755"/>
    <w:pPr>
      <w:tabs>
        <w:tab w:val="center" w:pos="4680"/>
        <w:tab w:val="right" w:pos="9360"/>
      </w:tabs>
    </w:pPr>
  </w:style>
  <w:style w:type="character" w:customStyle="1" w:styleId="FooterChar">
    <w:name w:val="Footer Char"/>
    <w:basedOn w:val="DefaultParagraphFont"/>
    <w:link w:val="Footer"/>
    <w:uiPriority w:val="99"/>
    <w:rsid w:val="00FC2755"/>
    <w:rPr>
      <w:rFonts w:ascii="Calibri" w:eastAsia="Calibri" w:hAnsi="Calibri" w:cs="Calibri"/>
    </w:rPr>
  </w:style>
  <w:style w:type="paragraph" w:styleId="BalloonText">
    <w:name w:val="Balloon Text"/>
    <w:basedOn w:val="Normal"/>
    <w:link w:val="BalloonTextChar"/>
    <w:uiPriority w:val="99"/>
    <w:semiHidden/>
    <w:unhideWhenUsed/>
    <w:rsid w:val="00FC2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75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16841"/>
    <w:rPr>
      <w:sz w:val="16"/>
      <w:szCs w:val="16"/>
    </w:rPr>
  </w:style>
  <w:style w:type="paragraph" w:styleId="CommentText">
    <w:name w:val="annotation text"/>
    <w:basedOn w:val="Normal"/>
    <w:link w:val="CommentTextChar"/>
    <w:uiPriority w:val="99"/>
    <w:unhideWhenUsed/>
    <w:rsid w:val="00316841"/>
    <w:rPr>
      <w:sz w:val="20"/>
      <w:szCs w:val="20"/>
    </w:rPr>
  </w:style>
  <w:style w:type="character" w:customStyle="1" w:styleId="CommentTextChar">
    <w:name w:val="Comment Text Char"/>
    <w:basedOn w:val="DefaultParagraphFont"/>
    <w:link w:val="CommentText"/>
    <w:uiPriority w:val="99"/>
    <w:rsid w:val="0031684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16841"/>
    <w:rPr>
      <w:b/>
      <w:bCs/>
    </w:rPr>
  </w:style>
  <w:style w:type="character" w:customStyle="1" w:styleId="CommentSubjectChar">
    <w:name w:val="Comment Subject Char"/>
    <w:basedOn w:val="CommentTextChar"/>
    <w:link w:val="CommentSubject"/>
    <w:uiPriority w:val="99"/>
    <w:semiHidden/>
    <w:rsid w:val="00316841"/>
    <w:rPr>
      <w:rFonts w:ascii="Calibri" w:eastAsia="Calibri" w:hAnsi="Calibri" w:cs="Calibri"/>
      <w:b/>
      <w:bCs/>
      <w:sz w:val="20"/>
      <w:szCs w:val="20"/>
    </w:rPr>
  </w:style>
  <w:style w:type="table" w:styleId="PlainTable1">
    <w:name w:val="Plain Table 1"/>
    <w:basedOn w:val="TableNormal"/>
    <w:uiPriority w:val="41"/>
    <w:rsid w:val="00B2791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42160"/>
    <w:rPr>
      <w:color w:val="0000FF" w:themeColor="hyperlink"/>
      <w:u w:val="single"/>
    </w:rPr>
  </w:style>
  <w:style w:type="character" w:styleId="UnresolvedMention">
    <w:name w:val="Unresolved Mention"/>
    <w:basedOn w:val="DefaultParagraphFont"/>
    <w:uiPriority w:val="99"/>
    <w:semiHidden/>
    <w:unhideWhenUsed/>
    <w:rsid w:val="00C42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35780">
      <w:bodyDiv w:val="1"/>
      <w:marLeft w:val="0"/>
      <w:marRight w:val="0"/>
      <w:marTop w:val="0"/>
      <w:marBottom w:val="0"/>
      <w:divBdr>
        <w:top w:val="none" w:sz="0" w:space="0" w:color="auto"/>
        <w:left w:val="none" w:sz="0" w:space="0" w:color="auto"/>
        <w:bottom w:val="none" w:sz="0" w:space="0" w:color="auto"/>
        <w:right w:val="none" w:sz="0" w:space="0" w:color="auto"/>
      </w:divBdr>
    </w:div>
    <w:div w:id="1116144849">
      <w:bodyDiv w:val="1"/>
      <w:marLeft w:val="0"/>
      <w:marRight w:val="0"/>
      <w:marTop w:val="0"/>
      <w:marBottom w:val="0"/>
      <w:divBdr>
        <w:top w:val="none" w:sz="0" w:space="0" w:color="auto"/>
        <w:left w:val="none" w:sz="0" w:space="0" w:color="auto"/>
        <w:bottom w:val="none" w:sz="0" w:space="0" w:color="auto"/>
        <w:right w:val="none" w:sz="0" w:space="0" w:color="auto"/>
      </w:divBdr>
    </w:div>
    <w:div w:id="1423990949">
      <w:bodyDiv w:val="1"/>
      <w:marLeft w:val="0"/>
      <w:marRight w:val="0"/>
      <w:marTop w:val="0"/>
      <w:marBottom w:val="0"/>
      <w:divBdr>
        <w:top w:val="none" w:sz="0" w:space="0" w:color="auto"/>
        <w:left w:val="none" w:sz="0" w:space="0" w:color="auto"/>
        <w:bottom w:val="none" w:sz="0" w:space="0" w:color="auto"/>
        <w:right w:val="none" w:sz="0" w:space="0" w:color="auto"/>
      </w:divBdr>
    </w:div>
    <w:div w:id="1645281868">
      <w:bodyDiv w:val="1"/>
      <w:marLeft w:val="0"/>
      <w:marRight w:val="0"/>
      <w:marTop w:val="0"/>
      <w:marBottom w:val="0"/>
      <w:divBdr>
        <w:top w:val="none" w:sz="0" w:space="0" w:color="auto"/>
        <w:left w:val="none" w:sz="0" w:space="0" w:color="auto"/>
        <w:bottom w:val="none" w:sz="0" w:space="0" w:color="auto"/>
        <w:right w:val="none" w:sz="0" w:space="0" w:color="auto"/>
      </w:divBdr>
    </w:div>
    <w:div w:id="1705521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5F54B-C250-404E-8E7E-F92C6597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5134</Words>
  <Characters>29269</Characters>
  <Application>Microsoft Office Word</Application>
  <DocSecurity>0</DocSecurity>
  <Lines>243</Lines>
  <Paragraphs>68</Paragraphs>
  <ScaleCrop>false</ScaleCrop>
  <Company>U.S. Forest Service</Company>
  <LinksUpToDate>false</LinksUpToDate>
  <CharactersWithSpaces>34335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Cheng,Tony</dc:creator>
  <cp:keywords/>
  <dc:description/>
  <cp:lastModifiedBy>Perovich, Carlyn - FS, CO</cp:lastModifiedBy>
  <cp:revision>100</cp:revision>
  <cp:lastPrinted>2022-04-12T20:10:00Z</cp:lastPrinted>
  <dcterms:created xsi:type="dcterms:W3CDTF">2022-07-19T15:19:00Z</dcterms:created>
  <dcterms:modified xsi:type="dcterms:W3CDTF">2023-05-02T17:57:00Z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2020-01-26T00:00:00Z</vt:filetime>
  </property>
  <property fmtid="{D5CDD505-2E9C-101B-9397-08002B2CF9AE}" pid="3" name="Creator">
    <vt:lpwstr>Acrobat PDFMaker 19 for Word</vt:lpwstr>
  </property>
  <property fmtid="{D5CDD505-2E9C-101B-9397-08002B2CF9AE}" pid="4" name="LastSaved">
    <vt:filetime>2020-09-29T00:00:00Z</vt:filetime>
  </property>
</Properties>
</file>